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Times New Roman" w:hAnsi="Times New Roman" w:eastAsia="黑体" w:cs="Times New Roman"/>
          <w:bCs/>
          <w:sz w:val="36"/>
          <w:szCs w:val="36"/>
          <w:lang w:val="en-US" w:eastAsia="zh-CN"/>
        </w:rPr>
      </w:pPr>
      <w:r>
        <w:rPr>
          <w:rFonts w:ascii="Times New Roman" w:hAnsi="Times New Roman" w:eastAsia="黑体" w:cs="Times New Roman"/>
          <w:bCs/>
          <w:sz w:val="36"/>
          <w:szCs w:val="36"/>
        </w:rPr>
        <w:t>附件</w:t>
      </w:r>
    </w:p>
    <w:p>
      <w:pPr>
        <w:jc w:val="center"/>
        <w:rPr>
          <w:rFonts w:ascii="Times New Roman" w:hAnsi="Times New Roman" w:eastAsia="方正小标宋简体" w:cs="Times New Roman"/>
          <w:bCs/>
          <w:sz w:val="44"/>
          <w:szCs w:val="44"/>
        </w:rPr>
      </w:pPr>
    </w:p>
    <w:p>
      <w:pPr>
        <w:jc w:val="center"/>
        <w:rPr>
          <w:rFonts w:ascii="Times New Roman" w:hAnsi="Times New Roman" w:eastAsia="方正小标宋简体" w:cs="Times New Roman"/>
          <w:bCs/>
          <w:sz w:val="44"/>
          <w:szCs w:val="44"/>
        </w:rPr>
      </w:pPr>
    </w:p>
    <w:p>
      <w:pPr>
        <w:jc w:val="center"/>
        <w:rPr>
          <w:rFonts w:ascii="Times New Roman" w:hAnsi="Times New Roman" w:eastAsia="方正小标宋简体" w:cs="Times New Roman"/>
          <w:bCs/>
          <w:spacing w:val="-23"/>
          <w:sz w:val="44"/>
          <w:szCs w:val="44"/>
        </w:rPr>
      </w:pPr>
    </w:p>
    <w:p>
      <w:pPr>
        <w:jc w:val="center"/>
        <w:rPr>
          <w:rFonts w:hint="eastAsia" w:ascii="Times New Roman" w:hAnsi="Times New Roman" w:eastAsia="方正小标宋简体" w:cs="Times New Roman"/>
          <w:bCs/>
          <w:spacing w:val="-23"/>
          <w:w w:val="100"/>
          <w:sz w:val="66"/>
          <w:szCs w:val="66"/>
        </w:rPr>
      </w:pPr>
      <w:r>
        <w:rPr>
          <w:rFonts w:ascii="Times New Roman" w:hAnsi="Times New Roman" w:eastAsia="方正小标宋简体" w:cs="Times New Roman"/>
          <w:bCs/>
          <w:spacing w:val="-23"/>
          <w:w w:val="100"/>
          <w:sz w:val="66"/>
          <w:szCs w:val="66"/>
        </w:rPr>
        <w:t>台州市</w:t>
      </w:r>
      <w:r>
        <w:rPr>
          <w:rFonts w:hint="eastAsia" w:ascii="Times New Roman" w:hAnsi="Times New Roman" w:eastAsia="方正小标宋简体" w:cs="Times New Roman"/>
          <w:bCs/>
          <w:spacing w:val="-23"/>
          <w:w w:val="100"/>
          <w:sz w:val="66"/>
          <w:szCs w:val="66"/>
        </w:rPr>
        <w:t>公共服务体系建设</w:t>
      </w:r>
    </w:p>
    <w:p>
      <w:pPr>
        <w:jc w:val="center"/>
        <w:rPr>
          <w:rFonts w:ascii="Times New Roman" w:hAnsi="Times New Roman" w:eastAsia="方正小标宋简体" w:cs="Times New Roman"/>
          <w:bCs/>
          <w:spacing w:val="-23"/>
          <w:w w:val="100"/>
          <w:sz w:val="66"/>
          <w:szCs w:val="66"/>
        </w:rPr>
      </w:pPr>
      <w:r>
        <w:rPr>
          <w:rFonts w:hint="eastAsia" w:ascii="Times New Roman" w:hAnsi="Times New Roman" w:eastAsia="方正小标宋简体" w:cs="Times New Roman"/>
          <w:bCs/>
          <w:spacing w:val="-23"/>
          <w:w w:val="100"/>
          <w:sz w:val="66"/>
          <w:szCs w:val="66"/>
        </w:rPr>
        <w:t>“十四五”</w:t>
      </w:r>
      <w:r>
        <w:rPr>
          <w:rFonts w:ascii="Times New Roman" w:hAnsi="Times New Roman" w:eastAsia="方正小标宋简体" w:cs="Times New Roman"/>
          <w:bCs/>
          <w:spacing w:val="-23"/>
          <w:w w:val="100"/>
          <w:sz w:val="66"/>
          <w:szCs w:val="66"/>
        </w:rPr>
        <w:t>规划</w:t>
      </w:r>
    </w:p>
    <w:p>
      <w:pPr>
        <w:jc w:val="center"/>
        <w:rPr>
          <w:rFonts w:ascii="Times New Roman" w:hAnsi="Times New Roman" w:eastAsia="楷体_GB2312" w:cs="Times New Roman"/>
          <w:bCs/>
          <w:sz w:val="36"/>
          <w:szCs w:val="36"/>
        </w:rPr>
      </w:pPr>
      <w:r>
        <w:rPr>
          <w:rFonts w:ascii="Times New Roman" w:hAnsi="Times New Roman" w:eastAsia="楷体_GB2312" w:cs="Times New Roman"/>
          <w:bCs/>
          <w:sz w:val="36"/>
          <w:szCs w:val="36"/>
        </w:rPr>
        <w:t>（征求意见稿）</w:t>
      </w: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center"/>
        <w:rPr>
          <w:rFonts w:ascii="Times New Roman" w:hAnsi="Times New Roman" w:cs="Times New Roman"/>
          <w:b/>
          <w:sz w:val="36"/>
          <w:szCs w:val="36"/>
        </w:rPr>
      </w:pPr>
    </w:p>
    <w:p>
      <w:pPr>
        <w:jc w:val="both"/>
        <w:rPr>
          <w:rFonts w:ascii="Times New Roman" w:hAnsi="Times New Roman" w:cs="Times New Roman"/>
          <w:b/>
          <w:sz w:val="36"/>
          <w:szCs w:val="36"/>
        </w:rPr>
      </w:pPr>
    </w:p>
    <w:p>
      <w:pPr>
        <w:rPr>
          <w:rFonts w:ascii="Times New Roman" w:hAnsi="Times New Roman" w:cs="Times New Roman"/>
          <w:b/>
          <w:sz w:val="36"/>
          <w:szCs w:val="36"/>
        </w:rPr>
      </w:pPr>
    </w:p>
    <w:p>
      <w:pPr>
        <w:rPr>
          <w:rFonts w:ascii="Times New Roman" w:hAnsi="Times New Roman" w:cs="Times New Roman"/>
          <w:b/>
          <w:sz w:val="36"/>
          <w:szCs w:val="36"/>
        </w:rPr>
      </w:pPr>
    </w:p>
    <w:p>
      <w:pPr>
        <w:jc w:val="center"/>
        <w:rPr>
          <w:rFonts w:ascii="黑体" w:hAnsi="黑体" w:eastAsia="黑体" w:cs="黑体"/>
          <w:bCs/>
          <w:sz w:val="36"/>
          <w:szCs w:val="36"/>
        </w:rPr>
      </w:pPr>
      <w:r>
        <w:rPr>
          <w:rFonts w:hint="eastAsia" w:ascii="黑体" w:hAnsi="黑体" w:eastAsia="黑体" w:cs="黑体"/>
          <w:bCs/>
          <w:sz w:val="36"/>
          <w:szCs w:val="36"/>
        </w:rPr>
        <w:t>台州市发展和改革委员会</w:t>
      </w:r>
    </w:p>
    <w:p>
      <w:pPr>
        <w:jc w:val="center"/>
        <w:rPr>
          <w:rFonts w:ascii="黑体" w:hAnsi="黑体" w:eastAsia="黑体" w:cs="黑体"/>
          <w:bCs/>
          <w:sz w:val="36"/>
          <w:szCs w:val="36"/>
        </w:rPr>
      </w:pPr>
      <w:r>
        <w:rPr>
          <w:rFonts w:hint="eastAsia" w:ascii="黑体" w:hAnsi="黑体" w:eastAsia="黑体" w:cs="黑体"/>
          <w:bCs/>
          <w:sz w:val="36"/>
          <w:szCs w:val="36"/>
        </w:rPr>
        <w:t>2021年</w:t>
      </w:r>
      <w:r>
        <w:rPr>
          <w:rFonts w:hint="eastAsia" w:ascii="黑体" w:hAnsi="黑体" w:eastAsia="黑体" w:cs="黑体"/>
          <w:bCs/>
          <w:sz w:val="36"/>
          <w:szCs w:val="36"/>
          <w:lang w:val="en-US" w:eastAsia="zh-CN"/>
        </w:rPr>
        <w:t>4</w:t>
      </w:r>
      <w:r>
        <w:rPr>
          <w:rFonts w:hint="eastAsia" w:ascii="黑体" w:hAnsi="黑体" w:eastAsia="黑体" w:cs="黑体"/>
          <w:bCs/>
          <w:sz w:val="36"/>
          <w:szCs w:val="36"/>
        </w:rPr>
        <w:t>月</w:t>
      </w:r>
    </w:p>
    <w:p>
      <w:pPr>
        <w:rPr>
          <w:rFonts w:ascii="Times New Roman" w:hAnsi="Times New Roman" w:eastAsia="楷体_GB2312" w:cs="Times New Roman"/>
          <w:bCs/>
          <w:sz w:val="32"/>
          <w:szCs w:val="32"/>
        </w:rPr>
      </w:pPr>
      <w:r>
        <w:rPr>
          <w:rFonts w:ascii="Times New Roman" w:hAnsi="Times New Roman" w:eastAsia="楷体_GB2312" w:cs="Times New Roman"/>
          <w:bCs/>
          <w:sz w:val="32"/>
          <w:szCs w:val="32"/>
        </w:rPr>
        <w:br w:type="page"/>
      </w:r>
    </w:p>
    <w:p>
      <w:pPr>
        <w:jc w:val="center"/>
        <w:rPr>
          <w:rFonts w:ascii="Times New Roman" w:hAnsi="Times New Roman" w:eastAsia="楷体_GB2312" w:cs="Times New Roman"/>
          <w:bCs/>
          <w:sz w:val="32"/>
          <w:szCs w:val="32"/>
        </w:rPr>
      </w:pPr>
    </w:p>
    <w:p>
      <w:pPr>
        <w:rPr>
          <w:rFonts w:ascii="Times New Roman" w:hAnsi="Times New Roman" w:cs="Times New Roman"/>
          <w:b/>
          <w:sz w:val="32"/>
          <w:szCs w:val="32"/>
        </w:rPr>
      </w:pPr>
      <w:r>
        <w:rPr>
          <w:rFonts w:ascii="Times New Roman" w:hAnsi="Times New Roman" w:cs="Times New Roman"/>
          <w:b/>
          <w:sz w:val="32"/>
          <w:szCs w:val="32"/>
        </w:rPr>
        <w:br w:type="page"/>
      </w:r>
    </w:p>
    <w:p>
      <w:pPr>
        <w:spacing w:line="600" w:lineRule="exact"/>
        <w:jc w:val="center"/>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目 录</w:t>
      </w:r>
    </w:p>
    <w:p>
      <w:pPr>
        <w:spacing w:line="600" w:lineRule="exact"/>
        <w:jc w:val="center"/>
        <w:rPr>
          <w:rFonts w:ascii="Times New Roman" w:hAnsi="Times New Roman" w:eastAsia="方正小标宋简体" w:cs="Times New Roman"/>
          <w:bCs/>
          <w:sz w:val="44"/>
          <w:szCs w:val="44"/>
        </w:rPr>
      </w:pPr>
    </w:p>
    <w:p>
      <w:pPr>
        <w:pStyle w:val="9"/>
        <w:tabs>
          <w:tab w:val="right" w:leader="dot" w:pos="8296"/>
        </w:tabs>
        <w:spacing w:line="580" w:lineRule="exact"/>
        <w:rPr>
          <w:rFonts w:ascii="Times New Roman" w:hAnsi="Times New Roman" w:eastAsia="仿宋_GB2312" w:cs="Times New Roman"/>
          <w:b/>
          <w:sz w:val="32"/>
          <w:szCs w:val="32"/>
        </w:rPr>
      </w:pPr>
      <w:r>
        <w:rPr>
          <w:rFonts w:ascii="Times New Roman" w:hAnsi="Times New Roman" w:cs="Times New Roman"/>
          <w:b/>
          <w:sz w:val="36"/>
          <w:szCs w:val="36"/>
        </w:rPr>
        <w:fldChar w:fldCharType="begin"/>
      </w:r>
      <w:r>
        <w:rPr>
          <w:rFonts w:ascii="Times New Roman" w:hAnsi="Times New Roman" w:cs="Times New Roman"/>
          <w:b/>
          <w:sz w:val="36"/>
          <w:szCs w:val="36"/>
        </w:rPr>
        <w:instrText xml:space="preserve"> TOC \o "1-2" \h \z \u </w:instrText>
      </w:r>
      <w:r>
        <w:rPr>
          <w:rFonts w:ascii="Times New Roman" w:hAnsi="Times New Roman" w:cs="Times New Roman"/>
          <w:b/>
          <w:sz w:val="36"/>
          <w:szCs w:val="36"/>
        </w:rPr>
        <w:fldChar w:fldCharType="separate"/>
      </w:r>
      <w:r>
        <w:fldChar w:fldCharType="begin"/>
      </w:r>
      <w:r>
        <w:instrText xml:space="preserve"> HYPERLINK \l "_Toc66830132" </w:instrText>
      </w:r>
      <w:r>
        <w:fldChar w:fldCharType="separate"/>
      </w:r>
      <w:r>
        <w:rPr>
          <w:rStyle w:val="17"/>
          <w:rFonts w:ascii="Times New Roman" w:hAnsi="Times New Roman" w:eastAsia="仿宋_GB2312" w:cs="Times New Roman"/>
          <w:b/>
          <w:spacing w:val="6"/>
          <w:sz w:val="32"/>
          <w:szCs w:val="32"/>
          <w:shd w:val="clear" w:color="auto" w:fill="FFFFFF"/>
        </w:rPr>
        <w:t>一、发展基础</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_Toc66830132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1</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"_Toc66830133" </w:instrText>
      </w:r>
      <w:r>
        <w:fldChar w:fldCharType="separate"/>
      </w:r>
      <w:r>
        <w:rPr>
          <w:rStyle w:val="17"/>
          <w:rFonts w:ascii="Times New Roman" w:hAnsi="Times New Roman" w:eastAsia="仿宋_GB2312" w:cs="Times New Roman"/>
          <w:sz w:val="32"/>
          <w:szCs w:val="32"/>
        </w:rPr>
        <w:t>（一）现实基础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_Toc66830133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"_Toc66830134" </w:instrText>
      </w:r>
      <w:r>
        <w:fldChar w:fldCharType="separate"/>
      </w:r>
      <w:r>
        <w:rPr>
          <w:rStyle w:val="17"/>
          <w:rFonts w:ascii="Times New Roman" w:hAnsi="Times New Roman" w:eastAsia="仿宋_GB2312" w:cs="Times New Roman"/>
          <w:sz w:val="32"/>
          <w:szCs w:val="32"/>
        </w:rPr>
        <w:t>（二）面临形势</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_Toc66830134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9"/>
        <w:tabs>
          <w:tab w:val="right" w:leader="dot" w:pos="8296"/>
        </w:tabs>
        <w:spacing w:line="580" w:lineRule="exact"/>
        <w:rPr>
          <w:rFonts w:ascii="Times New Roman" w:hAnsi="Times New Roman" w:eastAsia="仿宋_GB2312" w:cs="Times New Roman"/>
          <w:b/>
          <w:sz w:val="32"/>
          <w:szCs w:val="32"/>
        </w:rPr>
      </w:pPr>
      <w:r>
        <w:fldChar w:fldCharType="begin"/>
      </w:r>
      <w:r>
        <w:instrText xml:space="preserve"> HYPERLINK \l "_Toc66830135" </w:instrText>
      </w:r>
      <w:r>
        <w:fldChar w:fldCharType="separate"/>
      </w:r>
      <w:r>
        <w:rPr>
          <w:rStyle w:val="17"/>
          <w:rFonts w:ascii="Times New Roman" w:hAnsi="Times New Roman" w:eastAsia="仿宋_GB2312" w:cs="Times New Roman"/>
          <w:b/>
          <w:sz w:val="32"/>
          <w:szCs w:val="32"/>
        </w:rPr>
        <w:t>二、总体要求</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_Toc66830135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8</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"_Toc66830136" </w:instrText>
      </w:r>
      <w:r>
        <w:fldChar w:fldCharType="separate"/>
      </w:r>
      <w:r>
        <w:rPr>
          <w:rStyle w:val="17"/>
          <w:rFonts w:ascii="Times New Roman" w:hAnsi="Times New Roman" w:eastAsia="仿宋_GB2312" w:cs="Times New Roman"/>
          <w:sz w:val="32"/>
          <w:szCs w:val="32"/>
        </w:rPr>
        <w:t>（一）指导思想</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_Toc66830136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"_Toc66830137" </w:instrText>
      </w:r>
      <w:r>
        <w:fldChar w:fldCharType="separate"/>
      </w:r>
      <w:r>
        <w:rPr>
          <w:rStyle w:val="17"/>
          <w:rFonts w:ascii="Times New Roman" w:hAnsi="Times New Roman" w:eastAsia="仿宋_GB2312" w:cs="Times New Roman"/>
          <w:sz w:val="32"/>
          <w:szCs w:val="32"/>
        </w:rPr>
        <w:t>（二）基本原则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_Toc66830137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"_Toc66830138" </w:instrText>
      </w:r>
      <w:r>
        <w:fldChar w:fldCharType="separate"/>
      </w:r>
      <w:r>
        <w:rPr>
          <w:rStyle w:val="17"/>
          <w:rFonts w:ascii="Times New Roman" w:hAnsi="Times New Roman" w:eastAsia="仿宋_GB2312" w:cs="Times New Roman"/>
          <w:sz w:val="32"/>
          <w:szCs w:val="32"/>
        </w:rPr>
        <w:t>（三）主要目标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_Toc66830138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9"/>
        <w:tabs>
          <w:tab w:val="right" w:leader="dot" w:pos="8296"/>
        </w:tabs>
        <w:spacing w:line="580" w:lineRule="exact"/>
        <w:rPr>
          <w:rFonts w:ascii="Times New Roman" w:hAnsi="Times New Roman" w:eastAsia="仿宋_GB2312" w:cs="Times New Roman"/>
          <w:b/>
          <w:sz w:val="32"/>
          <w:szCs w:val="32"/>
        </w:rPr>
      </w:pPr>
      <w:r>
        <w:fldChar w:fldCharType="begin"/>
      </w:r>
      <w:r>
        <w:instrText xml:space="preserve"> HYPERLINK \l "_Toc66830139" </w:instrText>
      </w:r>
      <w:r>
        <w:fldChar w:fldCharType="separate"/>
      </w:r>
      <w:r>
        <w:rPr>
          <w:rStyle w:val="17"/>
          <w:rFonts w:ascii="Times New Roman" w:hAnsi="Times New Roman" w:eastAsia="仿宋_GB2312" w:cs="Times New Roman"/>
          <w:b/>
          <w:sz w:val="32"/>
          <w:szCs w:val="32"/>
        </w:rPr>
        <w:t>三、实施路径</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_Toc66830139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13</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"_Toc66830140" </w:instrText>
      </w:r>
      <w:r>
        <w:fldChar w:fldCharType="separate"/>
      </w:r>
      <w:r>
        <w:rPr>
          <w:rStyle w:val="17"/>
          <w:rFonts w:ascii="Times New Roman" w:hAnsi="Times New Roman" w:eastAsia="仿宋_GB2312" w:cs="Times New Roman"/>
          <w:sz w:val="32"/>
          <w:szCs w:val="32"/>
        </w:rPr>
        <w:t>（一）坚持均等化，推进基本公共服务共享</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_Toc66830140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"_Toc66830141" </w:instrText>
      </w:r>
      <w:r>
        <w:fldChar w:fldCharType="separate"/>
      </w:r>
      <w:r>
        <w:rPr>
          <w:rStyle w:val="17"/>
          <w:rFonts w:ascii="Times New Roman" w:hAnsi="Times New Roman" w:eastAsia="仿宋_GB2312" w:cs="Times New Roman"/>
          <w:sz w:val="32"/>
          <w:szCs w:val="32"/>
        </w:rPr>
        <w:t>（二）坚持数字化，提升公共服务服务效能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_Toc66830141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"_Toc66830144" </w:instrText>
      </w:r>
      <w:r>
        <w:fldChar w:fldCharType="separate"/>
      </w:r>
      <w:r>
        <w:rPr>
          <w:rStyle w:val="17"/>
          <w:rFonts w:ascii="Times New Roman" w:hAnsi="Times New Roman" w:eastAsia="仿宋_GB2312" w:cs="Times New Roman"/>
          <w:sz w:val="32"/>
          <w:szCs w:val="32"/>
        </w:rPr>
        <w:t>（三）坚持多元化，完善公共服务供给保障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9"/>
        <w:tabs>
          <w:tab w:val="right" w:leader="dot" w:pos="8296"/>
        </w:tabs>
        <w:spacing w:line="580" w:lineRule="exact"/>
        <w:rPr>
          <w:rFonts w:ascii="Times New Roman" w:hAnsi="Times New Roman" w:eastAsia="仿宋_GB2312" w:cs="Times New Roman"/>
          <w:b/>
          <w:sz w:val="32"/>
          <w:szCs w:val="32"/>
        </w:rPr>
      </w:pPr>
      <w:r>
        <w:fldChar w:fldCharType="begin"/>
      </w:r>
      <w:r>
        <w:instrText xml:space="preserve"> HYPERLINK \l "_Toc66830145" </w:instrText>
      </w:r>
      <w:r>
        <w:fldChar w:fldCharType="separate"/>
      </w:r>
      <w:r>
        <w:rPr>
          <w:rStyle w:val="17"/>
          <w:rFonts w:ascii="Times New Roman" w:hAnsi="Times New Roman" w:eastAsia="仿宋_GB2312" w:cs="Times New Roman"/>
          <w:b/>
          <w:sz w:val="32"/>
          <w:szCs w:val="32"/>
        </w:rPr>
        <w:t>四、重点领域</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_Toc66830145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19</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"_Toc66830146" </w:instrText>
      </w:r>
      <w:r>
        <w:fldChar w:fldCharType="separate"/>
      </w:r>
      <w:r>
        <w:rPr>
          <w:rStyle w:val="17"/>
          <w:rFonts w:ascii="Times New Roman" w:hAnsi="Times New Roman" w:eastAsia="仿宋_GB2312" w:cs="Times New Roman"/>
          <w:sz w:val="32"/>
          <w:szCs w:val="32"/>
        </w:rPr>
        <w:t>（一）聚焦幼有所育，完善托育照护服务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"_Toc66830147" </w:instrText>
      </w:r>
      <w:r>
        <w:fldChar w:fldCharType="separate"/>
      </w:r>
      <w:r>
        <w:rPr>
          <w:rStyle w:val="17"/>
          <w:rFonts w:ascii="Times New Roman" w:hAnsi="Times New Roman" w:eastAsia="仿宋_GB2312" w:cs="Times New Roman"/>
          <w:sz w:val="32"/>
          <w:szCs w:val="32"/>
        </w:rPr>
        <w:t>（二）聚焦学有所教，完善现代教育服务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_Toc66830147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"_Toc66830148" </w:instrText>
      </w:r>
      <w:r>
        <w:fldChar w:fldCharType="separate"/>
      </w:r>
      <w:r>
        <w:rPr>
          <w:rStyle w:val="17"/>
          <w:rFonts w:ascii="Times New Roman" w:hAnsi="Times New Roman" w:eastAsia="仿宋_GB2312" w:cs="Times New Roman"/>
          <w:sz w:val="32"/>
          <w:szCs w:val="32"/>
        </w:rPr>
        <w:t>（三）聚焦劳有所得，完善就业创业服务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_Toc66830148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"_Toc66830149" </w:instrText>
      </w:r>
      <w:r>
        <w:fldChar w:fldCharType="separate"/>
      </w:r>
      <w:r>
        <w:rPr>
          <w:rStyle w:val="17"/>
          <w:rFonts w:ascii="Times New Roman" w:hAnsi="Times New Roman" w:eastAsia="仿宋_GB2312" w:cs="Times New Roman"/>
          <w:sz w:val="32"/>
          <w:szCs w:val="32"/>
        </w:rPr>
        <w:t>（四）聚焦病有所医，完善医疗卫生服务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_Toc66830149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"_Toc66830150" </w:instrText>
      </w:r>
      <w:r>
        <w:fldChar w:fldCharType="separate"/>
      </w:r>
      <w:r>
        <w:rPr>
          <w:rStyle w:val="17"/>
          <w:rFonts w:ascii="Times New Roman" w:hAnsi="Times New Roman" w:eastAsia="仿宋_GB2312" w:cs="Times New Roman"/>
          <w:sz w:val="32"/>
          <w:szCs w:val="32"/>
        </w:rPr>
        <w:t>（五）聚焦娱有所乐，完善公共文体服务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"_Toc66830151" </w:instrText>
      </w:r>
      <w:r>
        <w:fldChar w:fldCharType="separate"/>
      </w:r>
      <w:r>
        <w:rPr>
          <w:rStyle w:val="17"/>
          <w:rFonts w:ascii="Times New Roman" w:hAnsi="Times New Roman" w:eastAsia="仿宋_GB2312" w:cs="Times New Roman"/>
          <w:sz w:val="32"/>
          <w:szCs w:val="32"/>
        </w:rPr>
        <w:t>（六）聚焦住有所居，完善宜居生活服务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"_Toc66830152" </w:instrText>
      </w:r>
      <w:r>
        <w:fldChar w:fldCharType="separate"/>
      </w:r>
      <w:r>
        <w:rPr>
          <w:rStyle w:val="17"/>
          <w:rFonts w:ascii="Times New Roman" w:hAnsi="Times New Roman" w:eastAsia="仿宋_GB2312" w:cs="Times New Roman"/>
          <w:sz w:val="32"/>
          <w:szCs w:val="32"/>
        </w:rPr>
        <w:t>（七）聚焦老有所养，完善幸福养老服务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"_Toc66830153" </w:instrText>
      </w:r>
      <w:r>
        <w:fldChar w:fldCharType="separate"/>
      </w:r>
      <w:r>
        <w:rPr>
          <w:rStyle w:val="17"/>
          <w:rFonts w:ascii="Times New Roman" w:hAnsi="Times New Roman" w:eastAsia="仿宋_GB2312" w:cs="Times New Roman"/>
          <w:sz w:val="32"/>
          <w:szCs w:val="32"/>
        </w:rPr>
        <w:t>（八）聚焦弱有所扶，完善兜底保障服务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"_Toc66830154" </w:instrText>
      </w:r>
      <w:r>
        <w:fldChar w:fldCharType="separate"/>
      </w:r>
      <w:r>
        <w:rPr>
          <w:rStyle w:val="17"/>
          <w:rFonts w:ascii="Times New Roman" w:hAnsi="Times New Roman" w:eastAsia="仿宋_GB2312" w:cs="Times New Roman"/>
          <w:sz w:val="32"/>
          <w:szCs w:val="32"/>
        </w:rPr>
        <w:t>（九）聚焦安有所保，完善公共安全服务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9"/>
        <w:tabs>
          <w:tab w:val="right" w:leader="dot" w:pos="8296"/>
        </w:tabs>
        <w:spacing w:line="580" w:lineRule="exact"/>
        <w:rPr>
          <w:rFonts w:ascii="Times New Roman" w:hAnsi="Times New Roman" w:eastAsia="仿宋_GB2312" w:cs="Times New Roman"/>
          <w:b/>
          <w:sz w:val="32"/>
          <w:szCs w:val="32"/>
        </w:rPr>
      </w:pPr>
      <w:r>
        <w:fldChar w:fldCharType="begin"/>
      </w:r>
      <w:r>
        <w:instrText xml:space="preserve"> HYPERLINK \l "_Toc66830155" </w:instrText>
      </w:r>
      <w:r>
        <w:fldChar w:fldCharType="separate"/>
      </w:r>
      <w:r>
        <w:rPr>
          <w:rStyle w:val="17"/>
          <w:rFonts w:ascii="Times New Roman" w:hAnsi="Times New Roman" w:eastAsia="仿宋_GB2312" w:cs="Times New Roman"/>
          <w:b/>
          <w:sz w:val="32"/>
          <w:szCs w:val="32"/>
        </w:rPr>
        <w:t>四、保障措施</w:t>
      </w:r>
      <w:r>
        <w:rPr>
          <w:rFonts w:ascii="Times New Roman" w:hAnsi="Times New Roman" w:eastAsia="仿宋_GB2312" w:cs="Times New Roman"/>
          <w:b/>
          <w:sz w:val="32"/>
          <w:szCs w:val="32"/>
        </w:rPr>
        <w:tab/>
      </w:r>
      <w:r>
        <w:rPr>
          <w:rFonts w:ascii="Times New Roman" w:hAnsi="Times New Roman" w:eastAsia="仿宋_GB2312" w:cs="Times New Roman"/>
          <w:b/>
          <w:sz w:val="32"/>
          <w:szCs w:val="32"/>
        </w:rPr>
        <w:fldChar w:fldCharType="begin"/>
      </w:r>
      <w:r>
        <w:rPr>
          <w:rFonts w:ascii="Times New Roman" w:hAnsi="Times New Roman" w:eastAsia="仿宋_GB2312" w:cs="Times New Roman"/>
          <w:b/>
          <w:sz w:val="32"/>
          <w:szCs w:val="32"/>
        </w:rPr>
        <w:instrText xml:space="preserve"> PAGEREF _Toc66830155 \h </w:instrText>
      </w:r>
      <w:r>
        <w:rPr>
          <w:rFonts w:ascii="Times New Roman" w:hAnsi="Times New Roman" w:eastAsia="仿宋_GB2312" w:cs="Times New Roman"/>
          <w:b/>
          <w:sz w:val="32"/>
          <w:szCs w:val="32"/>
        </w:rPr>
        <w:fldChar w:fldCharType="separate"/>
      </w:r>
      <w:r>
        <w:rPr>
          <w:rFonts w:ascii="Times New Roman" w:hAnsi="Times New Roman" w:eastAsia="仿宋_GB2312" w:cs="Times New Roman"/>
          <w:b/>
          <w:sz w:val="32"/>
          <w:szCs w:val="32"/>
        </w:rPr>
        <w:t>47</w:t>
      </w:r>
      <w:r>
        <w:rPr>
          <w:rFonts w:ascii="Times New Roman" w:hAnsi="Times New Roman" w:eastAsia="仿宋_GB2312" w:cs="Times New Roman"/>
          <w:b/>
          <w:sz w:val="32"/>
          <w:szCs w:val="32"/>
        </w:rPr>
        <w:fldChar w:fldCharType="end"/>
      </w:r>
      <w:r>
        <w:rPr>
          <w:rFonts w:ascii="Times New Roman" w:hAnsi="Times New Roman" w:eastAsia="仿宋_GB2312" w:cs="Times New Roman"/>
          <w:b/>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"_Toc66830156" </w:instrText>
      </w:r>
      <w:r>
        <w:fldChar w:fldCharType="separate"/>
      </w:r>
      <w:r>
        <w:rPr>
          <w:rStyle w:val="17"/>
          <w:rFonts w:ascii="Times New Roman" w:hAnsi="Times New Roman" w:eastAsia="仿宋_GB2312" w:cs="Times New Roman"/>
          <w:sz w:val="32"/>
          <w:szCs w:val="32"/>
        </w:rPr>
        <w:t>（一）加强组织保障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"_Toc66830157" </w:instrText>
      </w:r>
      <w:r>
        <w:fldChar w:fldCharType="separate"/>
      </w:r>
      <w:r>
        <w:rPr>
          <w:rStyle w:val="17"/>
          <w:rFonts w:ascii="Times New Roman" w:hAnsi="Times New Roman" w:eastAsia="仿宋_GB2312" w:cs="Times New Roman"/>
          <w:sz w:val="32"/>
          <w:szCs w:val="32"/>
        </w:rPr>
        <w:t>（二）明确责任分工</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"_Toc66830158" </w:instrText>
      </w:r>
      <w:r>
        <w:fldChar w:fldCharType="separate"/>
      </w:r>
      <w:r>
        <w:rPr>
          <w:rStyle w:val="17"/>
          <w:rFonts w:ascii="Times New Roman" w:hAnsi="Times New Roman" w:eastAsia="仿宋_GB2312" w:cs="Times New Roman"/>
          <w:sz w:val="32"/>
          <w:szCs w:val="32"/>
        </w:rPr>
        <w:t>（三）严格监督考评</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eastAsia="仿宋_GB2312" w:cs="Times New Roman"/>
          <w:sz w:val="32"/>
          <w:szCs w:val="32"/>
        </w:rPr>
      </w:pPr>
      <w:r>
        <w:fldChar w:fldCharType="begin"/>
      </w:r>
      <w:r>
        <w:instrText xml:space="preserve"> HYPERLINK \l "_Toc66830159" </w:instrText>
      </w:r>
      <w:r>
        <w:fldChar w:fldCharType="separate"/>
      </w:r>
      <w:r>
        <w:rPr>
          <w:rStyle w:val="17"/>
          <w:rFonts w:ascii="Times New Roman" w:hAnsi="Times New Roman" w:eastAsia="仿宋_GB2312" w:cs="Times New Roman"/>
          <w:sz w:val="32"/>
          <w:szCs w:val="32"/>
        </w:rPr>
        <w:t>（四）推进项目实施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_Toc66830159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pStyle w:val="10"/>
        <w:tabs>
          <w:tab w:val="right" w:leader="dot" w:pos="8296"/>
        </w:tabs>
        <w:spacing w:line="580" w:lineRule="exact"/>
        <w:rPr>
          <w:rFonts w:ascii="Times New Roman" w:hAnsi="Times New Roman" w:cs="Times New Roman"/>
        </w:rPr>
      </w:pPr>
      <w:r>
        <w:fldChar w:fldCharType="begin"/>
      </w:r>
      <w:r>
        <w:instrText xml:space="preserve"> HYPERLINK \l "_Toc66830160" </w:instrText>
      </w:r>
      <w:r>
        <w:fldChar w:fldCharType="separate"/>
      </w:r>
      <w:r>
        <w:rPr>
          <w:rStyle w:val="17"/>
          <w:rFonts w:ascii="Times New Roman" w:hAnsi="Times New Roman" w:eastAsia="仿宋_GB2312" w:cs="Times New Roman"/>
          <w:sz w:val="32"/>
          <w:szCs w:val="32"/>
        </w:rPr>
        <w:t>（五）加强人才建设</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_Toc66830160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spacing w:line="600" w:lineRule="exact"/>
        <w:jc w:val="center"/>
        <w:rPr>
          <w:rFonts w:ascii="Times New Roman" w:hAnsi="Times New Roman" w:cs="Times New Roman"/>
          <w:b/>
          <w:sz w:val="36"/>
          <w:szCs w:val="36"/>
        </w:rPr>
        <w:sectPr>
          <w:footerReference r:id="rId3" w:type="default"/>
          <w:pgSz w:w="11906" w:h="16838"/>
          <w:pgMar w:top="1701" w:right="1587" w:bottom="1701" w:left="1587" w:header="851" w:footer="1247" w:gutter="0"/>
          <w:cols w:space="0" w:num="1"/>
          <w:docGrid w:type="lines" w:linePitch="312" w:charSpace="0"/>
        </w:sectPr>
      </w:pPr>
      <w:r>
        <w:rPr>
          <w:rFonts w:ascii="Times New Roman" w:hAnsi="Times New Roman" w:cs="Times New Roman"/>
          <w:b/>
          <w:sz w:val="36"/>
          <w:szCs w:val="36"/>
        </w:rPr>
        <w:fldChar w:fldCharType="end"/>
      </w:r>
    </w:p>
    <w:p>
      <w:pPr>
        <w:spacing w:line="600" w:lineRule="exact"/>
        <w:ind w:firstLine="664"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spacing w:val="6"/>
          <w:sz w:val="32"/>
          <w:szCs w:val="32"/>
          <w:shd w:val="clear" w:color="auto" w:fill="FFFFFF"/>
        </w:rPr>
        <w:t>“十四五”是我市高水平全面建成小康社会，开启社会主义现代化建设新征程，争创社会主义现代化先行市，创造民生幸福新生活的重要时期。公共服务质效提升，对于促进社会公平正义，增进人民福祉，建设人民满意的幸福之城，具有十分重要的意义。本规划依据《浙江省公共服务提升“十四五”规划》《台州市国民经济和社会发展第十四个五年规划纲要》的有关要求编制，是今后五年我市公共服务提升的综合性、基础性、指导性和纲领性文件，是政府履行公共服务职责的重要依据。重点覆盖托育照护、现代教育、就业创业、医疗卫生、文体服务、宜居生活、幸福养老、兜底保障、公共安全等服务领域。规划期限为 2021年至2025年。</w:t>
      </w:r>
    </w:p>
    <w:p>
      <w:pPr>
        <w:spacing w:line="600" w:lineRule="exact"/>
        <w:ind w:firstLine="664" w:firstLineChars="200"/>
        <w:outlineLvl w:val="0"/>
        <w:rPr>
          <w:rFonts w:ascii="黑体" w:hAnsi="黑体" w:eastAsia="黑体" w:cs="黑体"/>
          <w:bCs/>
          <w:spacing w:val="6"/>
          <w:sz w:val="32"/>
          <w:szCs w:val="32"/>
          <w:shd w:val="clear" w:color="auto" w:fill="FFFFFF"/>
        </w:rPr>
      </w:pPr>
      <w:bookmarkStart w:id="0" w:name="_Toc66830132"/>
      <w:r>
        <w:rPr>
          <w:rFonts w:hint="eastAsia" w:ascii="黑体" w:hAnsi="黑体" w:eastAsia="黑体" w:cs="黑体"/>
          <w:bCs/>
          <w:spacing w:val="6"/>
          <w:sz w:val="32"/>
          <w:szCs w:val="32"/>
          <w:shd w:val="clear" w:color="auto" w:fill="FFFFFF"/>
        </w:rPr>
        <w:t>一、发展基础</w:t>
      </w:r>
      <w:bookmarkEnd w:id="0"/>
    </w:p>
    <w:p>
      <w:pPr>
        <w:spacing w:line="600" w:lineRule="exact"/>
        <w:ind w:firstLine="643" w:firstLineChars="200"/>
        <w:outlineLvl w:val="1"/>
        <w:rPr>
          <w:rFonts w:ascii="楷体_GB2312" w:hAnsi="楷体_GB2312" w:eastAsia="楷体_GB2312" w:cs="楷体_GB2312"/>
          <w:b/>
          <w:sz w:val="32"/>
          <w:szCs w:val="32"/>
        </w:rPr>
      </w:pPr>
      <w:bookmarkStart w:id="1" w:name="_Toc66830133"/>
      <w:r>
        <w:rPr>
          <w:rFonts w:hint="eastAsia" w:ascii="楷体_GB2312" w:hAnsi="楷体_GB2312" w:eastAsia="楷体_GB2312" w:cs="楷体_GB2312"/>
          <w:b/>
          <w:sz w:val="32"/>
          <w:szCs w:val="32"/>
        </w:rPr>
        <w:t>（一）现实基础</w:t>
      </w:r>
      <w:bookmarkEnd w:id="1"/>
    </w:p>
    <w:p>
      <w:pPr>
        <w:pStyle w:val="11"/>
        <w:widowControl w:val="0"/>
        <w:shd w:val="clear" w:color="auto" w:fill="FFFFFF"/>
        <w:spacing w:before="0" w:beforeAutospacing="0" w:after="0" w:afterAutospacing="0"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十三五”以来，我市出台了《台州市基本公共服务均等化五年行动计划》，初步确立了基本公共服务的体系框架和建设目标。经过各县（市、区）、各部门、各单位的共同努力，本市基本公共服务整体水平和均等化程度不断提升。</w:t>
      </w:r>
    </w:p>
    <w:p>
      <w:pPr>
        <w:spacing w:line="600" w:lineRule="exact"/>
        <w:ind w:firstLine="667"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spacing w:val="6"/>
          <w:sz w:val="32"/>
          <w:szCs w:val="32"/>
          <w:shd w:val="clear" w:color="auto" w:fill="FFFFFF"/>
        </w:rPr>
        <w:t>基本公共服务均等化实现度明显提升。</w:t>
      </w:r>
      <w:r>
        <w:rPr>
          <w:rFonts w:ascii="Times New Roman" w:hAnsi="Times New Roman" w:eastAsia="仿宋_GB2312" w:cs="Times New Roman"/>
          <w:spacing w:val="6"/>
          <w:sz w:val="32"/>
          <w:szCs w:val="32"/>
          <w:shd w:val="clear" w:color="auto" w:fill="FFFFFF"/>
        </w:rPr>
        <w:t>全市基本公共服务均等化2019年实现度为97.2%，比2015年提高14.3个百分点，提前超额完成基本公共服务五年行动计划95%的目标任务。其中，8大领域中基本环境和基本就业创业2个领域100%实现。基本公共服务五年行动计划确定的四大类33项指标，截止到2020年底，除每千人医疗床位数</w:t>
      </w:r>
      <w:r>
        <w:rPr>
          <w:rFonts w:hint="eastAsia" w:ascii="Times New Roman" w:hAnsi="Times New Roman" w:eastAsia="仿宋_GB2312" w:cs="Times New Roman"/>
          <w:spacing w:val="6"/>
          <w:sz w:val="32"/>
          <w:szCs w:val="32"/>
          <w:shd w:val="clear" w:color="auto" w:fill="FFFFFF"/>
        </w:rPr>
        <w:t>和</w:t>
      </w:r>
      <w:r>
        <w:rPr>
          <w:rFonts w:ascii="Times New Roman" w:hAnsi="Times New Roman" w:eastAsia="仿宋_GB2312" w:cs="Times New Roman"/>
          <w:spacing w:val="6"/>
          <w:sz w:val="32"/>
          <w:szCs w:val="32"/>
          <w:shd w:val="clear" w:color="auto" w:fill="FFFFFF"/>
        </w:rPr>
        <w:t>城市公共交通出行分担率2个指标进展稍显滞后外，其他31个指标都能达到预期目标要求。</w:t>
      </w:r>
    </w:p>
    <w:p>
      <w:pPr>
        <w:spacing w:line="600" w:lineRule="exact"/>
        <w:ind w:firstLine="667"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spacing w:val="6"/>
          <w:sz w:val="32"/>
          <w:szCs w:val="32"/>
          <w:shd w:val="clear" w:color="auto" w:fill="FFFFFF"/>
        </w:rPr>
        <w:t>基本公共服务制度体系更加健全。</w:t>
      </w:r>
      <w:r>
        <w:rPr>
          <w:rFonts w:ascii="Times New Roman" w:hAnsi="Times New Roman" w:eastAsia="仿宋_GB2312" w:cs="Times New Roman"/>
          <w:spacing w:val="6"/>
          <w:sz w:val="32"/>
          <w:szCs w:val="32"/>
          <w:shd w:val="clear" w:color="auto" w:fill="FFFFFF"/>
        </w:rPr>
        <w:t>建立了涵盖基本公共教育、基本就业创业等八大领域的基本公共服务清单114项，明确了服务对象、保障标准和支出责任。形成了多元化的供给机制，政府兜底作用进一步发挥，民生支出占全市一般公共预算支出75%以上，社会</w:t>
      </w:r>
      <w:r>
        <w:rPr>
          <w:rFonts w:ascii="Times New Roman" w:hAnsi="Times New Roman" w:eastAsia="仿宋_GB2312" w:cs="Times New Roman"/>
          <w:color w:val="000000"/>
          <w:kern w:val="0"/>
          <w:sz w:val="32"/>
          <w:szCs w:val="32"/>
        </w:rPr>
        <w:t>力量积极参与公共服务供给，民办教育、社会办医、养老市场化等取得实质性进展。制定地方标</w:t>
      </w:r>
      <w:r>
        <w:rPr>
          <w:rFonts w:ascii="Times New Roman" w:hAnsi="Times New Roman" w:eastAsia="仿宋_GB2312" w:cs="Times New Roman"/>
          <w:color w:val="000000"/>
          <w:kern w:val="0"/>
          <w:sz w:val="32"/>
          <w:szCs w:val="32"/>
          <w:highlight w:val="none"/>
        </w:rPr>
        <w:t>准</w:t>
      </w:r>
      <w:r>
        <w:rPr>
          <w:rFonts w:ascii="Times New Roman" w:hAnsi="Times New Roman" w:eastAsia="宋体"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项，开展国家级、省级基本公共服务标准化试点项目</w:t>
      </w:r>
      <w:r>
        <w:rPr>
          <w:rFonts w:ascii="Times New Roman" w:hAnsi="Times New Roman" w:eastAsia="宋体" w:cs="Times New Roman"/>
          <w:color w:val="000000"/>
          <w:kern w:val="0"/>
          <w:sz w:val="32"/>
          <w:szCs w:val="32"/>
          <w:highlight w:val="none"/>
        </w:rPr>
        <w:t>**</w:t>
      </w:r>
      <w:r>
        <w:rPr>
          <w:rFonts w:ascii="Times New Roman" w:hAnsi="Times New Roman" w:eastAsia="仿宋_GB2312" w:cs="Times New Roman"/>
          <w:color w:val="000000"/>
          <w:kern w:val="0"/>
          <w:sz w:val="32"/>
          <w:szCs w:val="32"/>
          <w:highlight w:val="none"/>
        </w:rPr>
        <w:t>个。</w:t>
      </w:r>
    </w:p>
    <w:p>
      <w:pPr>
        <w:spacing w:line="600" w:lineRule="exact"/>
        <w:ind w:firstLine="667" w:firstLineChars="200"/>
        <w:rPr>
          <w:rFonts w:ascii="Times New Roman" w:hAnsi="Times New Roman" w:eastAsia="仿宋_GB2312" w:cs="Times New Roman"/>
          <w:color w:val="000000"/>
          <w:kern w:val="0"/>
          <w:sz w:val="32"/>
          <w:szCs w:val="32"/>
        </w:rPr>
        <w:sectPr>
          <w:footerReference r:id="rId4" w:type="default"/>
          <w:pgSz w:w="11906" w:h="16838"/>
          <w:pgMar w:top="1701" w:right="1587" w:bottom="1701" w:left="1587" w:header="851" w:footer="1247" w:gutter="0"/>
          <w:pgNumType w:start="1"/>
          <w:cols w:space="0" w:num="1"/>
          <w:docGrid w:type="lines" w:linePitch="312" w:charSpace="0"/>
        </w:sectPr>
      </w:pPr>
      <w:r>
        <w:rPr>
          <w:rFonts w:ascii="Times New Roman" w:hAnsi="Times New Roman" w:eastAsia="仿宋_GB2312" w:cs="Times New Roman"/>
          <w:b/>
          <w:spacing w:val="6"/>
          <w:sz w:val="32"/>
          <w:szCs w:val="32"/>
          <w:shd w:val="clear" w:color="auto" w:fill="FFFFFF"/>
        </w:rPr>
        <w:t>基本公共服务重点领域成效显著。</w:t>
      </w:r>
      <w:r>
        <w:rPr>
          <w:rFonts w:ascii="Times New Roman" w:hAnsi="Times New Roman" w:eastAsia="仿宋_GB2312" w:cs="Times New Roman"/>
          <w:color w:val="000000"/>
          <w:kern w:val="0"/>
          <w:sz w:val="32"/>
          <w:szCs w:val="32"/>
        </w:rPr>
        <w:t>省教育基本现代化县（市）创建实现“满堂红”，义务教育质量全省排名向前移位。台州就业创业工作获省政府表彰，与杭州、宁波一起列为全省第一方阵。在全省率先建立困境儿童基本生活保障制度，被列入第五批中央财政支持居家和社区养老服务改革试点。城市医联体建设纳入国家试点，入选国家第四批综合医改试点城市。省体育强县实现全覆盖，创成体育强市。文化发展指数增幅居全省首位，创成国家公共文化服务体系示范区和中国和合文化之乡。平安台州实现“七连创”。</w:t>
      </w:r>
    </w:p>
    <w:p>
      <w:pPr>
        <w:jc w:val="center"/>
        <w:rPr>
          <w:rFonts w:ascii="Times New Roman" w:hAnsi="Times New Roman" w:eastAsia="仿宋_GB2312" w:cs="Times New Roman"/>
          <w:b/>
          <w:bCs/>
          <w:color w:val="000000"/>
          <w:kern w:val="0"/>
          <w:sz w:val="32"/>
          <w:szCs w:val="32"/>
        </w:rPr>
      </w:pPr>
      <w:r>
        <w:rPr>
          <w:rFonts w:ascii="Times New Roman" w:hAnsi="Times New Roman" w:eastAsia="仿宋_GB2312" w:cs="Times New Roman"/>
          <w:b/>
          <w:color w:val="000000"/>
          <w:kern w:val="0"/>
          <w:sz w:val="32"/>
          <w:szCs w:val="32"/>
        </w:rPr>
        <w:t xml:space="preserve">表1   </w:t>
      </w:r>
      <w:r>
        <w:rPr>
          <w:rFonts w:ascii="Times New Roman" w:hAnsi="Times New Roman" w:eastAsia="宋体" w:cs="Times New Roman"/>
          <w:b/>
          <w:bCs/>
          <w:color w:val="000000"/>
          <w:kern w:val="0"/>
          <w:sz w:val="32"/>
          <w:szCs w:val="32"/>
        </w:rPr>
        <w:t>“</w:t>
      </w:r>
      <w:r>
        <w:rPr>
          <w:rFonts w:ascii="Times New Roman" w:hAnsi="Times New Roman" w:eastAsia="仿宋_GB2312" w:cs="Times New Roman"/>
          <w:b/>
          <w:bCs/>
          <w:color w:val="000000"/>
          <w:kern w:val="0"/>
          <w:sz w:val="32"/>
          <w:szCs w:val="32"/>
        </w:rPr>
        <w:t>十三五</w:t>
      </w:r>
      <w:r>
        <w:rPr>
          <w:rFonts w:ascii="Times New Roman" w:hAnsi="Times New Roman" w:eastAsia="宋体" w:cs="Times New Roman"/>
          <w:b/>
          <w:bCs/>
          <w:color w:val="000000"/>
          <w:kern w:val="0"/>
          <w:sz w:val="32"/>
          <w:szCs w:val="32"/>
        </w:rPr>
        <w:t>”</w:t>
      </w:r>
      <w:r>
        <w:rPr>
          <w:rFonts w:ascii="Times New Roman" w:hAnsi="Times New Roman" w:eastAsia="仿宋_GB2312" w:cs="Times New Roman"/>
          <w:b/>
          <w:bCs/>
          <w:color w:val="000000"/>
          <w:kern w:val="0"/>
          <w:sz w:val="32"/>
          <w:szCs w:val="32"/>
        </w:rPr>
        <w:t>台州基本公共服务主要指标完成情况</w:t>
      </w:r>
    </w:p>
    <w:p>
      <w:pPr>
        <w:jc w:val="center"/>
        <w:rPr>
          <w:rFonts w:ascii="Times New Roman" w:hAnsi="Times New Roman" w:eastAsia="仿宋_GB2312" w:cs="Times New Roman"/>
          <w:b/>
          <w:bCs/>
          <w:color w:val="000000"/>
          <w:kern w:val="0"/>
          <w:sz w:val="32"/>
          <w:szCs w:val="32"/>
        </w:rPr>
      </w:pPr>
    </w:p>
    <w:tbl>
      <w:tblPr>
        <w:tblStyle w:val="12"/>
        <w:tblW w:w="126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8"/>
        <w:gridCol w:w="803"/>
        <w:gridCol w:w="5953"/>
        <w:gridCol w:w="1134"/>
        <w:gridCol w:w="1091"/>
        <w:gridCol w:w="1319"/>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blHeader/>
          <w:jc w:val="center"/>
        </w:trPr>
        <w:tc>
          <w:tcPr>
            <w:tcW w:w="1178" w:type="dxa"/>
            <w:shd w:val="clear" w:color="auto" w:fill="auto"/>
            <w:vAlign w:val="center"/>
          </w:tcPr>
          <w:p>
            <w:pPr>
              <w:spacing w:line="320" w:lineRule="exact"/>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类别</w:t>
            </w:r>
          </w:p>
        </w:tc>
        <w:tc>
          <w:tcPr>
            <w:tcW w:w="803" w:type="dxa"/>
            <w:shd w:val="clear" w:color="auto" w:fill="auto"/>
            <w:vAlign w:val="center"/>
          </w:tcPr>
          <w:p>
            <w:pPr>
              <w:spacing w:line="320" w:lineRule="exact"/>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序号</w:t>
            </w:r>
          </w:p>
        </w:tc>
        <w:tc>
          <w:tcPr>
            <w:tcW w:w="5953" w:type="dxa"/>
            <w:shd w:val="clear" w:color="auto" w:fill="auto"/>
            <w:vAlign w:val="center"/>
          </w:tcPr>
          <w:p>
            <w:pPr>
              <w:spacing w:line="320" w:lineRule="exact"/>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指标</w:t>
            </w:r>
          </w:p>
        </w:tc>
        <w:tc>
          <w:tcPr>
            <w:tcW w:w="1134" w:type="dxa"/>
            <w:shd w:val="clear" w:color="auto" w:fill="auto"/>
            <w:vAlign w:val="center"/>
          </w:tcPr>
          <w:p>
            <w:pPr>
              <w:spacing w:line="320" w:lineRule="exact"/>
              <w:jc w:val="center"/>
              <w:rPr>
                <w:rFonts w:ascii="Times New Roman" w:hAnsi="Times New Roman" w:eastAsia="仿宋_GB2312" w:cs="Times New Roman"/>
                <w:b/>
                <w:color w:val="000000"/>
                <w:spacing w:val="-12"/>
                <w:sz w:val="22"/>
              </w:rPr>
            </w:pPr>
            <w:r>
              <w:rPr>
                <w:rFonts w:ascii="Times New Roman" w:hAnsi="Times New Roman" w:eastAsia="仿宋_GB2312" w:cs="Times New Roman"/>
                <w:b/>
                <w:color w:val="000000"/>
                <w:spacing w:val="-12"/>
                <w:sz w:val="22"/>
              </w:rPr>
              <w:t>2015年</w:t>
            </w:r>
          </w:p>
        </w:tc>
        <w:tc>
          <w:tcPr>
            <w:tcW w:w="1091" w:type="dxa"/>
            <w:shd w:val="clear" w:color="auto" w:fill="auto"/>
            <w:vAlign w:val="center"/>
          </w:tcPr>
          <w:p>
            <w:pPr>
              <w:spacing w:line="320" w:lineRule="exact"/>
              <w:jc w:val="center"/>
              <w:rPr>
                <w:rFonts w:ascii="Times New Roman" w:hAnsi="Times New Roman" w:eastAsia="仿宋_GB2312" w:cs="Times New Roman"/>
                <w:b/>
                <w:color w:val="000000"/>
                <w:spacing w:val="-12"/>
                <w:sz w:val="22"/>
              </w:rPr>
            </w:pPr>
            <w:r>
              <w:rPr>
                <w:rFonts w:ascii="Times New Roman" w:hAnsi="Times New Roman" w:eastAsia="仿宋_GB2312" w:cs="Times New Roman"/>
                <w:b/>
                <w:color w:val="000000"/>
                <w:spacing w:val="-12"/>
                <w:sz w:val="22"/>
              </w:rPr>
              <w:t>规划目标</w:t>
            </w:r>
          </w:p>
          <w:p>
            <w:pPr>
              <w:spacing w:line="320" w:lineRule="exact"/>
              <w:jc w:val="center"/>
              <w:rPr>
                <w:rFonts w:ascii="Times New Roman" w:hAnsi="Times New Roman" w:eastAsia="仿宋_GB2312" w:cs="Times New Roman"/>
                <w:b/>
                <w:color w:val="000000"/>
                <w:spacing w:val="-12"/>
                <w:sz w:val="22"/>
              </w:rPr>
            </w:pPr>
            <w:r>
              <w:rPr>
                <w:rFonts w:ascii="Times New Roman" w:hAnsi="Times New Roman" w:eastAsia="仿宋_GB2312" w:cs="Times New Roman"/>
                <w:b/>
                <w:color w:val="000000"/>
                <w:spacing w:val="-12"/>
                <w:sz w:val="22"/>
              </w:rPr>
              <w:t>2020年</w:t>
            </w:r>
          </w:p>
        </w:tc>
        <w:tc>
          <w:tcPr>
            <w:tcW w:w="1319" w:type="dxa"/>
            <w:shd w:val="clear" w:color="auto" w:fill="auto"/>
            <w:vAlign w:val="center"/>
          </w:tcPr>
          <w:p>
            <w:pPr>
              <w:spacing w:line="320" w:lineRule="exact"/>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完成情况</w:t>
            </w:r>
          </w:p>
          <w:p>
            <w:pPr>
              <w:spacing w:line="320" w:lineRule="exact"/>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2020年</w:t>
            </w:r>
          </w:p>
        </w:tc>
        <w:tc>
          <w:tcPr>
            <w:tcW w:w="1144" w:type="dxa"/>
            <w:shd w:val="clear" w:color="auto" w:fill="auto"/>
            <w:vAlign w:val="center"/>
          </w:tcPr>
          <w:p>
            <w:pPr>
              <w:spacing w:line="320" w:lineRule="exact"/>
              <w:jc w:val="center"/>
              <w:rPr>
                <w:rFonts w:ascii="Times New Roman" w:hAnsi="Times New Roman" w:eastAsia="仿宋_GB2312" w:cs="Times New Roman"/>
                <w:b/>
                <w:color w:val="000000"/>
                <w:sz w:val="22"/>
              </w:rPr>
            </w:pPr>
            <w:r>
              <w:rPr>
                <w:rFonts w:ascii="Times New Roman" w:hAnsi="Times New Roman" w:eastAsia="仿宋_GB2312" w:cs="Times New Roman"/>
                <w:b/>
                <w:color w:val="000000"/>
                <w:sz w:val="22"/>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restart"/>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公共事业性服务</w:t>
            </w: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九年义务教育巩固率（%）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99.9</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99.9</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幼儿在园人数（万人）</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23.4</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31</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高中阶段毛入学率（%）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97.5</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98.5</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人均预期寿命（年）</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79.12</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79.3</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81.33</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每千人口执业（助理）医师数（人）</w:t>
            </w:r>
          </w:p>
        </w:tc>
        <w:tc>
          <w:tcPr>
            <w:tcW w:w="1134" w:type="dxa"/>
            <w:shd w:val="clear" w:color="auto" w:fill="auto"/>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2.6</w:t>
            </w:r>
          </w:p>
        </w:tc>
        <w:tc>
          <w:tcPr>
            <w:tcW w:w="1091" w:type="dxa"/>
            <w:shd w:val="clear" w:color="auto" w:fill="auto"/>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2.9</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3.26</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每千人口床位数（张）</w:t>
            </w:r>
          </w:p>
        </w:tc>
        <w:tc>
          <w:tcPr>
            <w:tcW w:w="1134" w:type="dxa"/>
            <w:shd w:val="clear" w:color="auto" w:fill="auto"/>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4.1</w:t>
            </w:r>
          </w:p>
        </w:tc>
        <w:tc>
          <w:tcPr>
            <w:tcW w:w="1091" w:type="dxa"/>
            <w:shd w:val="clear" w:color="auto" w:fill="auto"/>
            <w:vAlign w:val="center"/>
          </w:tcPr>
          <w:p>
            <w:pPr>
              <w:spacing w:line="320" w:lineRule="exact"/>
              <w:jc w:val="center"/>
              <w:rPr>
                <w:rFonts w:ascii="Times New Roman" w:hAnsi="Times New Roman" w:eastAsia="仿宋_GB2312" w:cs="Times New Roman"/>
                <w:sz w:val="22"/>
              </w:rPr>
            </w:pPr>
            <w:r>
              <w:rPr>
                <w:rFonts w:ascii="Times New Roman" w:hAnsi="Times New Roman" w:eastAsia="仿宋_GB2312" w:cs="Times New Roman"/>
                <w:sz w:val="22"/>
              </w:rPr>
              <w:t>5.53</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5.08</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经常参加锻炼体育人数比例（%）</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38</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≥40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县级公共图书馆人均藏书量</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0.63</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人均年观看文博展览、文艺表演（场次）</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7.88</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11</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广播、电视综合人口覆盖率（%）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99.72</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99.90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restart"/>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基本民生性服务</w:t>
            </w: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11</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城镇登记失业率（%）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3.44</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&lt;4</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1.35%</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12</w:t>
            </w:r>
          </w:p>
        </w:tc>
        <w:tc>
          <w:tcPr>
            <w:tcW w:w="5953" w:type="dxa"/>
            <w:shd w:val="clear" w:color="auto" w:fill="auto"/>
            <w:vAlign w:val="center"/>
          </w:tcPr>
          <w:p>
            <w:pPr>
              <w:spacing w:line="320" w:lineRule="exact"/>
              <w:rPr>
                <w:rFonts w:ascii="Times New Roman" w:hAnsi="Times New Roman" w:eastAsia="仿宋_GB2312" w:cs="Times New Roman"/>
                <w:b/>
                <w:color w:val="000000"/>
                <w:sz w:val="22"/>
              </w:rPr>
            </w:pPr>
            <w:r>
              <w:rPr>
                <w:rFonts w:ascii="Times New Roman" w:hAnsi="Times New Roman" w:eastAsia="仿宋_GB2312" w:cs="Times New Roman"/>
                <w:color w:val="000000"/>
                <w:sz w:val="22"/>
              </w:rPr>
              <w:t>新增城镇就业人数（万人）</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{30.41}</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19.67</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13</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企业劳动合同签约率（%）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95</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99</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97.7%</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14</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基本养老保险参保率（%）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70</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&gt;95</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98</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15</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基本医疗保险参保率（%）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95</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&gt;95</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16</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每千名老人拥有社会养老床位数（张）</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38.4</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w:t>
            </w:r>
            <w:r>
              <w:rPr>
                <w:rFonts w:hint="eastAsia" w:ascii="Times New Roman" w:hAnsi="Times New Roman" w:eastAsia="仿宋_GB2312" w:cs="Times New Roman"/>
                <w:color w:val="000000"/>
                <w:sz w:val="22"/>
              </w:rPr>
              <w:t>2</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17</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城镇住房保障受益覆盖率（%）</w:t>
            </w:r>
          </w:p>
        </w:tc>
        <w:tc>
          <w:tcPr>
            <w:tcW w:w="1134" w:type="dxa"/>
            <w:shd w:val="clear" w:color="auto" w:fill="auto"/>
            <w:vAlign w:val="center"/>
          </w:tcPr>
          <w:p>
            <w:pPr>
              <w:spacing w:line="320"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23</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23.75</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18</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残疾人全面小康实现程度（%）</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90.23</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≥96</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19</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困难残疾人生活补贴、重度残疾人护理补贴覆盖率（%）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≥98</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restart"/>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bCs/>
                <w:color w:val="000000"/>
                <w:sz w:val="22"/>
              </w:rPr>
              <w:t>公益基础性服务</w:t>
            </w: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20</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城市公共交通出行分担率（%）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13.6</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25.5</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21</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农村公路等级化率（%）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98.4</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100</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22</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具备条件建制村客运车辆通达率（%）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94.72</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100</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23</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地表水县控以上断面水质好于Ⅲ类的比例（%）</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65.5</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24</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省控地表水交接断面水质达标率（%）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54.5</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83.3</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25</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县级以上城市集中式饮用水水源地水质达标率（%）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100</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100</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26</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市区年空气质量达标天数比例（%）</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90</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92</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94.5</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27</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城市（县城）污水集中处理率（%）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97.76</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178" w:type="dxa"/>
            <w:vMerge w:val="continue"/>
            <w:shd w:val="clear" w:color="auto" w:fill="auto"/>
            <w:vAlign w:val="center"/>
          </w:tcPr>
          <w:p>
            <w:pPr>
              <w:spacing w:line="320" w:lineRule="exact"/>
              <w:jc w:val="lef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28</w:t>
            </w:r>
          </w:p>
        </w:tc>
        <w:tc>
          <w:tcPr>
            <w:tcW w:w="5953" w:type="dxa"/>
            <w:shd w:val="clear" w:color="auto" w:fill="auto"/>
            <w:vAlign w:val="center"/>
          </w:tcPr>
          <w:p>
            <w:pPr>
              <w:spacing w:line="320" w:lineRule="exact"/>
              <w:jc w:val="left"/>
              <w:rPr>
                <w:rFonts w:ascii="Times New Roman" w:hAnsi="Times New Roman" w:eastAsia="仿宋_GB2312" w:cs="Times New Roman"/>
                <w:color w:val="000000"/>
                <w:sz w:val="22"/>
              </w:rPr>
            </w:pPr>
            <w:r>
              <w:rPr>
                <w:rFonts w:ascii="Times New Roman" w:hAnsi="Times New Roman" w:eastAsia="仿宋_GB2312" w:cs="Times New Roman"/>
                <w:color w:val="000000"/>
                <w:sz w:val="22"/>
              </w:rPr>
              <w:t>农村生活污水有效治理建制村覆盖（%）</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79.79</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100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restart"/>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公共安全性服务</w:t>
            </w: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29</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主要食品检验合格率（%）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95.5</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≥96</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97.9%</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30</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主要药品检验合格率（%）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97</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≥98</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100%</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31</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公众食品安全满意度（%）</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70.08</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≥80</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88.96%</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32</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公众药品安全满意度（%）</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70.08</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≥85</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85%</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178" w:type="dxa"/>
            <w:vMerge w:val="continue"/>
            <w:shd w:val="clear" w:color="auto" w:fill="auto"/>
            <w:vAlign w:val="center"/>
          </w:tcPr>
          <w:p>
            <w:pPr>
              <w:spacing w:line="320" w:lineRule="exact"/>
              <w:rPr>
                <w:rFonts w:ascii="Times New Roman" w:hAnsi="Times New Roman" w:eastAsia="仿宋_GB2312" w:cs="Times New Roman"/>
                <w:color w:val="000000"/>
                <w:sz w:val="22"/>
              </w:rPr>
            </w:pPr>
          </w:p>
        </w:tc>
        <w:tc>
          <w:tcPr>
            <w:tcW w:w="803"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33</w:t>
            </w:r>
          </w:p>
        </w:tc>
        <w:tc>
          <w:tcPr>
            <w:tcW w:w="5953" w:type="dxa"/>
            <w:shd w:val="clear" w:color="auto" w:fill="auto"/>
            <w:vAlign w:val="center"/>
          </w:tcPr>
          <w:p>
            <w:pPr>
              <w:spacing w:line="320" w:lineRule="exact"/>
              <w:rPr>
                <w:rFonts w:ascii="Times New Roman" w:hAnsi="Times New Roman" w:eastAsia="仿宋_GB2312" w:cs="Times New Roman"/>
                <w:color w:val="000000"/>
                <w:sz w:val="22"/>
              </w:rPr>
            </w:pPr>
            <w:r>
              <w:rPr>
                <w:rFonts w:ascii="Times New Roman" w:hAnsi="Times New Roman" w:eastAsia="仿宋_GB2312" w:cs="Times New Roman"/>
                <w:color w:val="000000"/>
                <w:sz w:val="22"/>
              </w:rPr>
              <w:t>亿元GDP生产安全事故死亡率（%）</w:t>
            </w:r>
          </w:p>
        </w:tc>
        <w:tc>
          <w:tcPr>
            <w:tcW w:w="113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0.13</w:t>
            </w:r>
          </w:p>
        </w:tc>
        <w:tc>
          <w:tcPr>
            <w:tcW w:w="1091"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≤0.11</w:t>
            </w:r>
          </w:p>
        </w:tc>
        <w:tc>
          <w:tcPr>
            <w:tcW w:w="1319"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hint="eastAsia" w:ascii="Times New Roman" w:hAnsi="Times New Roman" w:eastAsia="仿宋_GB2312" w:cs="Times New Roman"/>
                <w:color w:val="000000"/>
                <w:sz w:val="22"/>
              </w:rPr>
              <w:t>0.021</w:t>
            </w:r>
          </w:p>
        </w:tc>
        <w:tc>
          <w:tcPr>
            <w:tcW w:w="1144" w:type="dxa"/>
            <w:shd w:val="clear" w:color="auto" w:fill="auto"/>
            <w:vAlign w:val="center"/>
          </w:tcPr>
          <w:p>
            <w:pPr>
              <w:spacing w:line="320" w:lineRule="exact"/>
              <w:jc w:val="center"/>
              <w:rPr>
                <w:rFonts w:ascii="Times New Roman" w:hAnsi="Times New Roman" w:eastAsia="仿宋_GB2312" w:cs="Times New Roman"/>
                <w:color w:val="000000"/>
                <w:sz w:val="22"/>
              </w:rPr>
            </w:pPr>
            <w:r>
              <w:rPr>
                <w:rFonts w:ascii="Times New Roman" w:hAnsi="Times New Roman" w:eastAsia="仿宋_GB2312" w:cs="Times New Roman"/>
                <w:color w:val="000000"/>
                <w:sz w:val="22"/>
              </w:rPr>
              <w:t>约束性</w:t>
            </w:r>
          </w:p>
        </w:tc>
      </w:tr>
    </w:tbl>
    <w:p>
      <w:pPr>
        <w:ind w:firstLine="640" w:firstLineChars="200"/>
        <w:rPr>
          <w:rFonts w:ascii="Times New Roman" w:hAnsi="Times New Roman" w:eastAsia="仿宋_GB2312" w:cs="Times New Roman"/>
          <w:color w:val="000000"/>
          <w:kern w:val="0"/>
          <w:sz w:val="32"/>
          <w:szCs w:val="32"/>
        </w:rPr>
        <w:sectPr>
          <w:pgSz w:w="16838" w:h="11906" w:orient="landscape"/>
          <w:pgMar w:top="1701" w:right="1587" w:bottom="1701" w:left="1587" w:header="851" w:footer="1247" w:gutter="0"/>
          <w:cols w:space="0" w:num="1"/>
          <w:docGrid w:type="lines" w:linePitch="312" w:charSpace="0"/>
        </w:sectPr>
      </w:pPr>
    </w:p>
    <w:tbl>
      <w:tblPr>
        <w:tblStyle w:val="12"/>
        <w:tblW w:w="0" w:type="auto"/>
        <w:jc w:val="center"/>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43" w:hRule="atLeast"/>
          <w:jc w:val="center"/>
        </w:trPr>
        <w:tc>
          <w:tcPr>
            <w:tcW w:w="8522" w:type="dxa"/>
            <w:shd w:val="clear" w:color="auto" w:fill="auto"/>
          </w:tcPr>
          <w:p>
            <w:pPr>
              <w:rPr>
                <w:rFonts w:ascii="Times New Roman" w:hAnsi="Times New Roman" w:eastAsia="仿宋_GB2312" w:cs="Times New Roman"/>
                <w:b/>
                <w:spacing w:val="6"/>
                <w:sz w:val="28"/>
                <w:szCs w:val="28"/>
                <w:shd w:val="clear" w:color="auto" w:fill="FFFFFF"/>
              </w:rPr>
            </w:pPr>
            <w:r>
              <w:rPr>
                <w:rFonts w:ascii="Times New Roman" w:hAnsi="Times New Roman" w:eastAsia="仿宋_GB2312" w:cs="Times New Roman"/>
                <w:b/>
                <w:spacing w:val="6"/>
                <w:sz w:val="28"/>
                <w:szCs w:val="28"/>
                <w:shd w:val="clear" w:color="auto" w:fill="FFFFFF"/>
              </w:rPr>
              <w:t>专栏1    重点领域基本公共服务完成情况</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jc w:val="center"/>
        </w:trPr>
        <w:tc>
          <w:tcPr>
            <w:tcW w:w="8522" w:type="dxa"/>
          </w:tcPr>
          <w:p>
            <w:pPr>
              <w:spacing w:line="3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1、基本公共教育更加均衡。</w:t>
            </w:r>
            <w:r>
              <w:rPr>
                <w:rFonts w:ascii="Times New Roman" w:hAnsi="Times New Roman" w:eastAsia="仿宋_GB2312" w:cs="Times New Roman"/>
                <w:spacing w:val="6"/>
                <w:sz w:val="24"/>
                <w:szCs w:val="24"/>
                <w:shd w:val="clear" w:color="auto" w:fill="FFFFFF"/>
              </w:rPr>
              <w:t>学前教育第三轮三年行动计划全面启动，公办幼儿覆盖率达50%，普惠性幼儿园比例92.36%。义务教育质量全省排名向前移位，省义务教育标准化学校覆盖率达95%，九年义务教育巩固率100%。市直普通高中发展共同体成功组建，高中阶段毛入学率达**%。成功申报国家温台职教新高地。温岭、玉环上榜首批省示范学习型城市。</w:t>
            </w:r>
          </w:p>
          <w:p>
            <w:pPr>
              <w:spacing w:line="3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2、基本就业创业服务更加完善。</w:t>
            </w:r>
            <w:r>
              <w:rPr>
                <w:rFonts w:ascii="Times New Roman" w:hAnsi="Times New Roman" w:eastAsia="仿宋_GB2312" w:cs="Times New Roman"/>
                <w:spacing w:val="6"/>
                <w:sz w:val="24"/>
                <w:szCs w:val="24"/>
                <w:shd w:val="clear" w:color="auto" w:fill="FFFFFF"/>
              </w:rPr>
              <w:t>“十三五”期间，全市新增城镇就业</w:t>
            </w:r>
            <w:r>
              <w:rPr>
                <w:rFonts w:hint="eastAsia" w:ascii="Times New Roman" w:hAnsi="Times New Roman" w:eastAsia="仿宋_GB2312" w:cs="Times New Roman"/>
                <w:spacing w:val="6"/>
                <w:sz w:val="24"/>
                <w:szCs w:val="24"/>
                <w:shd w:val="clear" w:color="auto" w:fill="FFFFFF"/>
              </w:rPr>
              <w:t>91.41</w:t>
            </w:r>
            <w:r>
              <w:rPr>
                <w:rFonts w:ascii="Times New Roman" w:hAnsi="Times New Roman" w:eastAsia="仿宋_GB2312" w:cs="Times New Roman"/>
                <w:spacing w:val="6"/>
                <w:sz w:val="24"/>
                <w:szCs w:val="24"/>
                <w:shd w:val="clear" w:color="auto" w:fill="FFFFFF"/>
              </w:rPr>
              <w:t>万人，失业人员再就业</w:t>
            </w:r>
            <w:r>
              <w:rPr>
                <w:rFonts w:hint="eastAsia" w:ascii="Times New Roman" w:hAnsi="Times New Roman" w:eastAsia="仿宋_GB2312" w:cs="Times New Roman"/>
                <w:spacing w:val="6"/>
                <w:sz w:val="24"/>
                <w:szCs w:val="24"/>
                <w:shd w:val="clear" w:color="auto" w:fill="FFFFFF"/>
              </w:rPr>
              <w:t>17.21</w:t>
            </w:r>
            <w:r>
              <w:rPr>
                <w:rFonts w:ascii="Times New Roman" w:hAnsi="Times New Roman" w:eastAsia="仿宋_GB2312" w:cs="Times New Roman"/>
                <w:spacing w:val="6"/>
                <w:sz w:val="24"/>
                <w:szCs w:val="24"/>
                <w:shd w:val="clear" w:color="auto" w:fill="FFFFFF"/>
              </w:rPr>
              <w:t>万人，城镇登记失业率控制在2.5%以下，“零就业家庭”继续保持动态清零。常态化举办“创赢台州”创业大赛，“十三五”期间累计发放创业担保贷款</w:t>
            </w:r>
            <w:r>
              <w:rPr>
                <w:rFonts w:hint="eastAsia" w:ascii="Times New Roman" w:hAnsi="Times New Roman" w:eastAsia="仿宋_GB2312" w:cs="Times New Roman"/>
                <w:spacing w:val="6"/>
                <w:sz w:val="24"/>
                <w:szCs w:val="24"/>
                <w:shd w:val="clear" w:color="auto" w:fill="FFFFFF"/>
              </w:rPr>
              <w:t>19.3</w:t>
            </w:r>
            <w:r>
              <w:rPr>
                <w:rFonts w:ascii="Times New Roman" w:hAnsi="Times New Roman" w:eastAsia="仿宋_GB2312" w:cs="Times New Roman"/>
                <w:spacing w:val="6"/>
                <w:sz w:val="24"/>
                <w:szCs w:val="24"/>
                <w:shd w:val="clear" w:color="auto" w:fill="FFFFFF"/>
              </w:rPr>
              <w:t>亿元，创业担保贷款工作获全国创业就业服务展优秀项目奖，台州大学生创业园获评全国创业孵化示范基地。</w:t>
            </w:r>
          </w:p>
          <w:p>
            <w:pPr>
              <w:spacing w:line="3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3、基本社会保障更加健全。</w:t>
            </w:r>
            <w:r>
              <w:rPr>
                <w:rFonts w:ascii="Times New Roman" w:hAnsi="Times New Roman" w:eastAsia="仿宋_GB2312" w:cs="Times New Roman"/>
                <w:spacing w:val="6"/>
                <w:sz w:val="24"/>
                <w:szCs w:val="24"/>
                <w:shd w:val="clear" w:color="auto" w:fill="FFFFFF"/>
              </w:rPr>
              <w:t>异地就医结算实现全国联网，“三区两市”城乡医保统一待遇。在全省率先建立困境儿童基本生活保障制度。社会福利水平持续提升，市综合福利中心大楼、市儿童福利院建成投用。养老服务照料中心建设总量居全省前列，被列入第五批中央财政支持居家和社区养老服务改革试点。住房保障能力不断增强，“十三五”期间棚户区新开工（含货币化安置）8.1万套，城镇住房保障受益覆盖率已达到23.75%.</w:t>
            </w:r>
          </w:p>
          <w:p>
            <w:pPr>
              <w:spacing w:line="3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4、基本健康服务更加优质。</w:t>
            </w:r>
            <w:r>
              <w:rPr>
                <w:rFonts w:ascii="Times New Roman" w:hAnsi="Times New Roman" w:eastAsia="仿宋_GB2312" w:cs="Times New Roman"/>
                <w:spacing w:val="6"/>
                <w:sz w:val="24"/>
                <w:szCs w:val="24"/>
                <w:shd w:val="clear" w:color="auto" w:fill="FFFFFF"/>
              </w:rPr>
              <w:t>台州医院新院区、市公共卫生中心等一批项目加快推进，建成台州市分级诊疗系统，城市医联体建设纳入国家试点，全市县域就诊率和基层就诊率分别达到90%和65%。综合医改深入推进，入选国家第四批综合医改试点城市，台州市中心医院、台州市中医院成为现代医院管理制度省级试点。大力开展体育惠民行动，市全民健身活动中心建成开放，省体育强县实现全覆盖，创成体育强市。</w:t>
            </w:r>
          </w:p>
          <w:p>
            <w:pPr>
              <w:spacing w:line="3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5、基本生活服务更加便捷。</w:t>
            </w:r>
            <w:r>
              <w:rPr>
                <w:rFonts w:hint="eastAsia" w:ascii="Times New Roman" w:hAnsi="Times New Roman" w:eastAsia="仿宋_GB2312" w:cs="Times New Roman"/>
                <w:spacing w:val="6"/>
                <w:sz w:val="24"/>
                <w:szCs w:val="24"/>
                <w:shd w:val="clear" w:color="auto" w:fill="FFFFFF"/>
              </w:rPr>
              <w:t>建制村客车“村村通”全面实现，城市公交分担率达25.5%。</w:t>
            </w:r>
            <w:r>
              <w:rPr>
                <w:rFonts w:ascii="Times New Roman" w:hAnsi="Times New Roman" w:eastAsia="仿宋_GB2312" w:cs="Times New Roman"/>
                <w:spacing w:val="6"/>
                <w:sz w:val="24"/>
                <w:szCs w:val="24"/>
                <w:shd w:val="clear" w:color="auto" w:fill="FFFFFF"/>
              </w:rPr>
              <w:t>台州市南部湾区饮水工程顺利实施，三门核电一期等一批重点电源项目建成，甬台温天然气和成品油管道建成投用。骨干光纤网络基本建成，城市楼宇光纤通达率与行政村光纤通达率均达到100%，建成5G基站**个以上。15分钟“便民生活圈”初步形成。</w:t>
            </w:r>
          </w:p>
          <w:p>
            <w:pPr>
              <w:spacing w:line="300" w:lineRule="exact"/>
              <w:ind w:firstLine="506" w:firstLineChars="200"/>
              <w:rPr>
                <w:rFonts w:ascii="Times New Roman" w:hAnsi="Times New Roman" w:eastAsia="仿宋_GB2312" w:cs="Times New Roman"/>
                <w:color w:val="000000"/>
                <w:sz w:val="24"/>
                <w:szCs w:val="24"/>
              </w:rPr>
            </w:pPr>
            <w:r>
              <w:rPr>
                <w:rFonts w:ascii="Times New Roman" w:hAnsi="Times New Roman" w:eastAsia="仿宋_GB2312" w:cs="Times New Roman"/>
                <w:b/>
                <w:spacing w:val="6"/>
                <w:sz w:val="24"/>
                <w:szCs w:val="24"/>
                <w:shd w:val="clear" w:color="auto" w:fill="FFFFFF"/>
              </w:rPr>
              <w:t>6、基本公共文化服务更加丰富。</w:t>
            </w:r>
            <w:r>
              <w:rPr>
                <w:rFonts w:ascii="Times New Roman" w:hAnsi="Times New Roman" w:eastAsia="仿宋_GB2312" w:cs="Times New Roman"/>
                <w:color w:val="000000"/>
                <w:sz w:val="24"/>
                <w:szCs w:val="24"/>
              </w:rPr>
              <w:t>创成国家公共文化服务体系示范区和中国和合文化之乡，文化发展指数增幅居全省首位。台州市博物馆、三门县大剧院、市非物质文化遗产展示馆等建成投用，重点文化设施总建筑面积超**万平米；农村文化礼堂实现中心村全覆盖。“文化三下乡”活动持续深化，完成农村电影放映**场，送书下乡**万册，送戏**场。建成“台州文化云”一站式数字互动平台。</w:t>
            </w:r>
          </w:p>
          <w:p>
            <w:pPr>
              <w:spacing w:line="3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7、基本环境保护服务更加有力。</w:t>
            </w:r>
            <w:r>
              <w:rPr>
                <w:rFonts w:ascii="Times New Roman" w:hAnsi="Times New Roman" w:eastAsia="仿宋_GB2312" w:cs="Times New Roman"/>
                <w:color w:val="000000"/>
                <w:sz w:val="24"/>
                <w:szCs w:val="24"/>
              </w:rPr>
              <w:t>低碳城市建设积极推进，获评“国家森林城市”，天台、仙居成为国家级生态文明建设示范县。“湾（滩）长制”试点工作经验全国推广，成为全国首批无黑臭水体城市。空气质量稳居全国重点城市前列，“台州蓝”成为金名片。被列入国家土壤污染综合防治先行区，治土模式和经验入选生态环境部美丽中国先锋榜。玉环国家级海洋公园获批。</w:t>
            </w:r>
          </w:p>
          <w:p>
            <w:pPr>
              <w:spacing w:line="300" w:lineRule="exact"/>
              <w:ind w:firstLine="506" w:firstLineChars="200"/>
              <w:jc w:val="left"/>
              <w:rPr>
                <w:rFonts w:ascii="Times New Roman" w:hAnsi="Times New Roman" w:eastAsia="仿宋_GB2312" w:cs="Times New Roman"/>
                <w:color w:val="000000"/>
                <w:sz w:val="24"/>
                <w:szCs w:val="24"/>
              </w:rPr>
            </w:pPr>
            <w:r>
              <w:rPr>
                <w:rFonts w:ascii="Times New Roman" w:hAnsi="Times New Roman" w:eastAsia="仿宋_GB2312" w:cs="Times New Roman"/>
                <w:b/>
                <w:spacing w:val="6"/>
                <w:sz w:val="24"/>
                <w:szCs w:val="24"/>
                <w:shd w:val="clear" w:color="auto" w:fill="FFFFFF"/>
              </w:rPr>
              <w:t>8、基本公共安全服务更有保障。</w:t>
            </w:r>
            <w:r>
              <w:rPr>
                <w:rFonts w:ascii="Times New Roman" w:hAnsi="Times New Roman" w:eastAsia="仿宋_GB2312" w:cs="Times New Roman"/>
                <w:color w:val="000000"/>
                <w:sz w:val="24"/>
                <w:szCs w:val="24"/>
              </w:rPr>
              <w:t>平安台州实现“七连创”。县级食品安全检验检测资源整合工作全国推广，食品安全公众满意度逐年上升。安全生产事故起数、死亡人数降幅均居全省第一。重大活动维稳安保任务圆满完成，扫黑除恶工作走在全省前列，“无盗抢城市”创建成效明显，社会治安领域主要指标降幅全省第一，省级“无信访积案县（市、区）”实现满堂红。</w:t>
            </w:r>
          </w:p>
        </w:tc>
      </w:tr>
    </w:tbl>
    <w:p>
      <w:pPr>
        <w:spacing w:line="600" w:lineRule="exact"/>
        <w:ind w:firstLine="664"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spacing w:val="6"/>
          <w:sz w:val="32"/>
          <w:szCs w:val="32"/>
          <w:shd w:val="clear" w:color="auto" w:fill="FFFFFF"/>
        </w:rPr>
        <w:t>与此同时，基本公共服务体系建设还存在一些问题和短板，主要表现在：</w:t>
      </w:r>
      <w:r>
        <w:rPr>
          <w:rFonts w:ascii="Times New Roman" w:hAnsi="Times New Roman" w:eastAsia="仿宋_GB2312" w:cs="Times New Roman"/>
          <w:b/>
          <w:spacing w:val="6"/>
          <w:sz w:val="32"/>
          <w:szCs w:val="32"/>
          <w:shd w:val="clear" w:color="auto" w:fill="FFFFFF"/>
        </w:rPr>
        <w:t>一是基本公共服务供给总量不足。</w:t>
      </w:r>
      <w:r>
        <w:rPr>
          <w:rFonts w:ascii="Times New Roman" w:hAnsi="Times New Roman" w:eastAsia="仿宋_GB2312" w:cs="Times New Roman"/>
          <w:spacing w:val="6"/>
          <w:sz w:val="32"/>
          <w:szCs w:val="32"/>
          <w:shd w:val="clear" w:color="auto" w:fill="FFFFFF"/>
        </w:rPr>
        <w:t>我市社会事业发展一直滞后于经济发展，设施建设、运营管理、人员队伍等仍然滞后，入园、入学、就医、养老等领域的供需矛盾依然突出。</w:t>
      </w:r>
      <w:r>
        <w:rPr>
          <w:rFonts w:ascii="Times New Roman" w:hAnsi="Times New Roman" w:eastAsia="仿宋_GB2312" w:cs="Times New Roman"/>
          <w:b/>
          <w:spacing w:val="6"/>
          <w:sz w:val="32"/>
          <w:szCs w:val="32"/>
          <w:shd w:val="clear" w:color="auto" w:fill="FFFFFF"/>
        </w:rPr>
        <w:t>二是基本公共服务配置不均衡。</w:t>
      </w:r>
      <w:r>
        <w:rPr>
          <w:rFonts w:ascii="Times New Roman" w:hAnsi="Times New Roman" w:eastAsia="仿宋_GB2312" w:cs="Times New Roman"/>
          <w:spacing w:val="6"/>
          <w:sz w:val="32"/>
          <w:szCs w:val="32"/>
          <w:shd w:val="clear" w:color="auto" w:fill="FFFFFF"/>
        </w:rPr>
        <w:t>基本公共产品供给数量和质量在城乡之间、区域之间、群体之间仍存在较大差异，基本公共服务资源配置不尽合理，与公共服务均等化要求仍有一定距离。</w:t>
      </w:r>
      <w:r>
        <w:rPr>
          <w:rFonts w:ascii="Times New Roman" w:hAnsi="Times New Roman" w:eastAsia="仿宋_GB2312" w:cs="Times New Roman"/>
          <w:b/>
          <w:spacing w:val="6"/>
          <w:sz w:val="32"/>
          <w:szCs w:val="32"/>
          <w:shd w:val="clear" w:color="auto" w:fill="FFFFFF"/>
        </w:rPr>
        <w:t>三是非基本公共服务弱项明显。</w:t>
      </w:r>
      <w:r>
        <w:rPr>
          <w:rFonts w:ascii="Times New Roman" w:hAnsi="Times New Roman" w:eastAsia="仿宋_GB2312" w:cs="Times New Roman"/>
          <w:spacing w:val="6"/>
          <w:sz w:val="32"/>
          <w:szCs w:val="32"/>
          <w:shd w:val="clear" w:color="auto" w:fill="FFFFFF"/>
        </w:rPr>
        <w:t>社会服务产业链条没有得到很好的拓展，多层次、多元化、高品质的中高端服务尚未形成，婴幼儿照护服务提供水平、高等教育数量和质量、普惠优质的卫生健康服务等服务质量和水平与群众期待还有不小差距。</w:t>
      </w:r>
      <w:r>
        <w:rPr>
          <w:rFonts w:ascii="Times New Roman" w:hAnsi="Times New Roman" w:eastAsia="仿宋_GB2312" w:cs="Times New Roman"/>
          <w:b/>
          <w:bCs/>
          <w:color w:val="000000"/>
          <w:kern w:val="0"/>
          <w:sz w:val="32"/>
          <w:szCs w:val="32"/>
        </w:rPr>
        <w:t>四是公共服务体制改革任重道远。</w:t>
      </w:r>
      <w:r>
        <w:rPr>
          <w:rFonts w:ascii="Times New Roman" w:hAnsi="Times New Roman" w:eastAsia="仿宋_GB2312" w:cs="Times New Roman"/>
          <w:color w:val="000000"/>
          <w:kern w:val="0"/>
          <w:sz w:val="32"/>
          <w:szCs w:val="32"/>
        </w:rPr>
        <w:t>跨区域的公共服务便利共享有待进一步打通；社会参与渠道仍需拓展，国有企业、社会资本等力量还没有充分调动；公共服务数字化水平还有待提高，数字化、精细化公共服务管理模式尚未成熟。</w:t>
      </w:r>
    </w:p>
    <w:p>
      <w:pPr>
        <w:spacing w:line="600" w:lineRule="exact"/>
        <w:ind w:firstLine="643" w:firstLineChars="200"/>
        <w:outlineLvl w:val="1"/>
        <w:rPr>
          <w:rFonts w:ascii="楷体_GB2312" w:hAnsi="楷体_GB2312" w:eastAsia="楷体_GB2312" w:cs="楷体_GB2312"/>
          <w:b/>
          <w:sz w:val="32"/>
          <w:szCs w:val="32"/>
        </w:rPr>
      </w:pPr>
      <w:bookmarkStart w:id="2" w:name="_Toc66830134"/>
      <w:r>
        <w:rPr>
          <w:rFonts w:hint="eastAsia" w:ascii="楷体_GB2312" w:hAnsi="楷体_GB2312" w:eastAsia="楷体_GB2312" w:cs="楷体_GB2312"/>
          <w:b/>
          <w:sz w:val="32"/>
          <w:szCs w:val="32"/>
        </w:rPr>
        <w:t>（二）面临形势</w:t>
      </w:r>
      <w:bookmarkEnd w:id="2"/>
    </w:p>
    <w:p>
      <w:pPr>
        <w:spacing w:line="600" w:lineRule="exact"/>
        <w:ind w:firstLine="664"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spacing w:val="6"/>
          <w:sz w:val="32"/>
          <w:szCs w:val="32"/>
          <w:shd w:val="clear" w:color="auto" w:fill="FFFFFF"/>
        </w:rPr>
        <w:t>“十四五”时期是我市争创社会主义现代化先行市的起步期，也是加快提升公共服务水平的关键期。统筹推进全市公共服务提升，面临新的机遇和挑战。</w:t>
      </w:r>
    </w:p>
    <w:p>
      <w:pPr>
        <w:spacing w:line="600" w:lineRule="exact"/>
        <w:ind w:firstLine="667" w:firstLineChars="200"/>
        <w:rPr>
          <w:rFonts w:ascii="Times New Roman" w:hAnsi="Times New Roman" w:eastAsia="仿宋_GB2312" w:cs="Times New Roman"/>
          <w:b/>
          <w:spacing w:val="6"/>
          <w:sz w:val="32"/>
          <w:szCs w:val="32"/>
          <w:shd w:val="clear" w:color="auto" w:fill="FFFFFF"/>
        </w:rPr>
      </w:pPr>
      <w:r>
        <w:rPr>
          <w:rFonts w:ascii="Times New Roman" w:hAnsi="Times New Roman" w:eastAsia="仿宋_GB2312" w:cs="Times New Roman"/>
          <w:b/>
          <w:spacing w:val="6"/>
          <w:sz w:val="32"/>
          <w:szCs w:val="32"/>
          <w:shd w:val="clear" w:color="auto" w:fill="FFFFFF"/>
        </w:rPr>
        <w:t>政策导向提出新要求。</w:t>
      </w:r>
      <w:r>
        <w:rPr>
          <w:rFonts w:ascii="Times New Roman" w:hAnsi="Times New Roman" w:eastAsia="仿宋_GB2312" w:cs="Times New Roman"/>
          <w:spacing w:val="6"/>
          <w:sz w:val="32"/>
          <w:szCs w:val="32"/>
          <w:shd w:val="clear" w:color="auto" w:fill="FFFFFF"/>
        </w:rPr>
        <w:t>“十四五”是我国实现“两个百年”目标承上启下的关键期，是在高水平全面建成小康社会的基础上开启全面实现社会主义现代化新征程的起步期，也是我省争创社会主义现代化先行省的第一个五年，这对推动民生福祉迈上新台阶，建立与面向基本现代化相适应的公共服务体系，推进基本公共服务向更高水平、更高层次迈进出了新要求。</w:t>
      </w:r>
    </w:p>
    <w:p>
      <w:pPr>
        <w:spacing w:line="600" w:lineRule="exact"/>
        <w:ind w:firstLine="667"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spacing w:val="6"/>
          <w:sz w:val="32"/>
          <w:szCs w:val="32"/>
          <w:shd w:val="clear" w:color="auto" w:fill="FFFFFF"/>
        </w:rPr>
        <w:t>社会发展进入新阶段。</w:t>
      </w:r>
      <w:r>
        <w:rPr>
          <w:rFonts w:ascii="Times New Roman" w:hAnsi="Times New Roman" w:eastAsia="仿宋_GB2312" w:cs="Times New Roman"/>
          <w:spacing w:val="6"/>
          <w:sz w:val="32"/>
          <w:szCs w:val="32"/>
          <w:shd w:val="clear" w:color="auto" w:fill="FFFFFF"/>
        </w:rPr>
        <w:t>“十四五”时期，我市人均GDP将达到1.5-2.0万美元之间，进入到中等发达经济体水平，随着经济社会发展和收入水平的提高，消费结构升级以及消费需求多样化、个性化趋势，人民群众对教育、就业、社会保障、医疗卫生、文化体育等公共服务需求日趋旺盛，对于公共服务的质量、效率、便利性、公平性、均等化的要求和预期日益提高。</w:t>
      </w:r>
    </w:p>
    <w:p>
      <w:pPr>
        <w:spacing w:line="600" w:lineRule="exact"/>
        <w:ind w:firstLine="667"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spacing w:val="6"/>
          <w:sz w:val="32"/>
          <w:szCs w:val="32"/>
          <w:shd w:val="clear" w:color="auto" w:fill="FFFFFF"/>
        </w:rPr>
        <w:t>人口结构发生新变化。</w:t>
      </w:r>
      <w:r>
        <w:rPr>
          <w:rFonts w:ascii="Times New Roman" w:hAnsi="Times New Roman" w:eastAsia="仿宋_GB2312" w:cs="Times New Roman"/>
          <w:spacing w:val="6"/>
          <w:sz w:val="32"/>
          <w:szCs w:val="32"/>
          <w:shd w:val="clear" w:color="auto" w:fill="FFFFFF"/>
        </w:rPr>
        <w:t>“十四五”期间，我市常住人口仍将稳步增长，预计到2033年左右将会达到人口峰值，与此同时，人口老龄化程度将不断加深，预计2025年65岁以上老年人口占比达到17%，2030年左右超过20%，进入重度老龄社会。随着人口老龄化程度的加深，人口总抚养比将进一步上升，对托幼、教育、就业、医疗、基本养老等公共服务保障能力提出更高要求。</w:t>
      </w:r>
    </w:p>
    <w:p>
      <w:pPr>
        <w:spacing w:line="600" w:lineRule="exact"/>
        <w:ind w:firstLine="667"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spacing w:val="6"/>
          <w:sz w:val="32"/>
          <w:szCs w:val="32"/>
          <w:shd w:val="clear" w:color="auto" w:fill="FFFFFF"/>
        </w:rPr>
        <w:t>城乡格局面临新调整。</w:t>
      </w:r>
      <w:r>
        <w:rPr>
          <w:rFonts w:ascii="Times New Roman" w:hAnsi="Times New Roman" w:eastAsia="仿宋_GB2312" w:cs="Times New Roman"/>
          <w:spacing w:val="6"/>
          <w:sz w:val="32"/>
          <w:szCs w:val="32"/>
          <w:shd w:val="clear" w:color="auto" w:fill="FFFFFF"/>
        </w:rPr>
        <w:t>我市“十四五”规划纲要明确提出要建设省域开放型高能级中心城市，引导人口向城区、镇区集聚，基本建成300万以上人口规模、高端资源循环集聚、港产城湾一体发展的区域中心城市，预计到2025年我市城镇化水平将超过70%，到2040年左右将超过80%。人口在空间上的深刻变化，对公共服务的布局结构调整提出了新的要求。</w:t>
      </w:r>
    </w:p>
    <w:p>
      <w:pPr>
        <w:spacing w:line="600" w:lineRule="exact"/>
        <w:ind w:firstLine="667" w:firstLineChars="200"/>
        <w:rPr>
          <w:rFonts w:ascii="Times New Roman" w:hAnsi="Times New Roman" w:eastAsia="仿宋_GB2312" w:cs="Times New Roman"/>
          <w:b/>
          <w:spacing w:val="6"/>
          <w:sz w:val="32"/>
          <w:szCs w:val="32"/>
          <w:shd w:val="clear" w:color="auto" w:fill="FFFFFF"/>
        </w:rPr>
      </w:pPr>
      <w:r>
        <w:rPr>
          <w:rFonts w:ascii="Times New Roman" w:hAnsi="Times New Roman" w:eastAsia="仿宋_GB2312" w:cs="Times New Roman"/>
          <w:b/>
          <w:spacing w:val="6"/>
          <w:sz w:val="32"/>
          <w:szCs w:val="32"/>
          <w:shd w:val="clear" w:color="auto" w:fill="FFFFFF"/>
        </w:rPr>
        <w:t>科技革命助力新变革。</w:t>
      </w:r>
      <w:r>
        <w:rPr>
          <w:rFonts w:ascii="Times New Roman" w:hAnsi="Times New Roman" w:eastAsia="仿宋_GB2312" w:cs="Times New Roman"/>
          <w:spacing w:val="6"/>
          <w:sz w:val="32"/>
          <w:szCs w:val="32"/>
          <w:shd w:val="clear" w:color="auto" w:fill="FFFFFF"/>
        </w:rPr>
        <w:t>全球</w:t>
      </w:r>
      <w:r>
        <w:rPr>
          <w:rFonts w:ascii="Times New Roman" w:hAnsi="Times New Roman" w:eastAsia="仿宋_GB2312" w:cs="Times New Roman"/>
          <w:sz w:val="32"/>
          <w:szCs w:val="32"/>
        </w:rPr>
        <w:t>新一轮科技变革和产业革命如火如荼，移动互联网、物联网、大数据、云计算等信息技术快速发展，推动公共服务供给方式和服务模式不断创新，数字化、个性化、定制化、精准化的公共服务需求更加凸显，这对各级政府加快提高公共服务的信息化程度和网络化水平，提高公共服务绩效提出了更高要求。</w:t>
      </w:r>
    </w:p>
    <w:p>
      <w:pPr>
        <w:spacing w:line="600" w:lineRule="exact"/>
        <w:ind w:firstLine="640" w:firstLineChars="200"/>
        <w:outlineLvl w:val="0"/>
        <w:rPr>
          <w:rFonts w:ascii="黑体" w:hAnsi="黑体" w:eastAsia="黑体" w:cs="黑体"/>
          <w:bCs/>
          <w:sz w:val="32"/>
          <w:szCs w:val="32"/>
        </w:rPr>
      </w:pPr>
      <w:bookmarkStart w:id="3" w:name="_Toc66830135"/>
      <w:r>
        <w:rPr>
          <w:rFonts w:hint="eastAsia" w:ascii="黑体" w:hAnsi="黑体" w:eastAsia="黑体" w:cs="黑体"/>
          <w:bCs/>
          <w:sz w:val="32"/>
          <w:szCs w:val="32"/>
        </w:rPr>
        <w:t>二、总体要求</w:t>
      </w:r>
      <w:bookmarkEnd w:id="3"/>
    </w:p>
    <w:p>
      <w:pPr>
        <w:spacing w:line="600" w:lineRule="exact"/>
        <w:ind w:firstLine="643" w:firstLineChars="200"/>
        <w:outlineLvl w:val="1"/>
        <w:rPr>
          <w:rFonts w:ascii="楷体_GB2312" w:hAnsi="楷体_GB2312" w:eastAsia="楷体_GB2312" w:cs="楷体_GB2312"/>
          <w:b/>
          <w:sz w:val="32"/>
          <w:szCs w:val="32"/>
        </w:rPr>
      </w:pPr>
      <w:bookmarkStart w:id="4" w:name="_Toc66830136"/>
      <w:r>
        <w:rPr>
          <w:rFonts w:hint="eastAsia" w:ascii="楷体_GB2312" w:hAnsi="楷体_GB2312" w:eastAsia="楷体_GB2312" w:cs="楷体_GB2312"/>
          <w:b/>
          <w:sz w:val="32"/>
          <w:szCs w:val="32"/>
        </w:rPr>
        <w:t>（一）指导思想</w:t>
      </w:r>
      <w:bookmarkEnd w:id="4"/>
    </w:p>
    <w:p>
      <w:pPr>
        <w:spacing w:line="600" w:lineRule="exact"/>
        <w:ind w:firstLine="640" w:firstLineChars="200"/>
        <w:rPr>
          <w:rFonts w:ascii="Times New Roman" w:hAnsi="Times New Roman" w:eastAsia="宋体" w:cs="Times New Roman"/>
          <w:kern w:val="0"/>
          <w:sz w:val="24"/>
          <w:szCs w:val="24"/>
        </w:rPr>
      </w:pPr>
      <w:r>
        <w:rPr>
          <w:rFonts w:ascii="Times New Roman" w:hAnsi="Times New Roman" w:eastAsia="仿宋_GB2312" w:cs="Times New Roman"/>
          <w:color w:val="000000" w:themeColor="text1"/>
          <w:sz w:val="32"/>
          <w:szCs w:val="32"/>
          <w14:textFill>
            <w14:solidFill>
              <w14:schemeClr w14:val="tx1"/>
            </w14:solidFill>
          </w14:textFill>
        </w:rPr>
        <w:t>高举习近平新时代中国特色社会主义思想伟大旗帜，坚持新发展理念，忠实践行“八八战略”，紧扣共同富裕和人的全面发展，切实服务于“三立三进三突围”的新时代发展路径，以满足人民群众对美好生活的向往为导向，</w:t>
      </w:r>
      <w:r>
        <w:rPr>
          <w:rFonts w:ascii="Times New Roman" w:hAnsi="Times New Roman" w:eastAsia="仿宋_GB2312" w:cs="Times New Roman"/>
          <w:color w:val="000000"/>
          <w:kern w:val="0"/>
          <w:sz w:val="32"/>
          <w:szCs w:val="32"/>
        </w:rPr>
        <w:t>正确处理基本与非基本、政府与市场、供给与需求的关系，秉承均等化、数字化、多元化发展路径，</w:t>
      </w:r>
      <w:r>
        <w:rPr>
          <w:rFonts w:ascii="Times New Roman" w:hAnsi="Times New Roman" w:eastAsia="仿宋_GB2312" w:cs="Times New Roman"/>
          <w:color w:val="000000" w:themeColor="text1"/>
          <w:sz w:val="32"/>
          <w:szCs w:val="32"/>
          <w14:textFill>
            <w14:solidFill>
              <w14:schemeClr w14:val="tx1"/>
            </w14:solidFill>
          </w14:textFill>
        </w:rPr>
        <w:t>聚焦9大重点领域，全面深化公共服务供给侧结构性改革，</w:t>
      </w:r>
      <w:r>
        <w:rPr>
          <w:rFonts w:ascii="Times New Roman" w:hAnsi="Times New Roman" w:eastAsia="仿宋_GB2312" w:cs="Times New Roman"/>
          <w:color w:val="000000"/>
          <w:kern w:val="0"/>
          <w:sz w:val="32"/>
          <w:szCs w:val="32"/>
        </w:rPr>
        <w:t>大力补齐基本公共服务短板，扩大多层次多样化个性化公共服务供给</w:t>
      </w:r>
      <w:r>
        <w:rPr>
          <w:rFonts w:ascii="Times New Roman" w:hAnsi="Times New Roman" w:eastAsia="仿宋_GB2312" w:cs="Times New Roman"/>
          <w:spacing w:val="6"/>
          <w:sz w:val="32"/>
          <w:szCs w:val="32"/>
          <w:shd w:val="clear" w:color="auto" w:fill="FFFFFF"/>
        </w:rPr>
        <w:t>，</w:t>
      </w:r>
      <w:r>
        <w:rPr>
          <w:rFonts w:ascii="Times New Roman" w:hAnsi="Times New Roman" w:eastAsia="仿宋_GB2312" w:cs="Times New Roman"/>
          <w:color w:val="000000"/>
          <w:kern w:val="0"/>
          <w:sz w:val="32"/>
          <w:szCs w:val="32"/>
        </w:rPr>
        <w:t>构建覆盖全人群、全生命周期的高质量现代化公共服务体系，不断增进全体人民获得感、幸福感、安全感和认同感，</w:t>
      </w:r>
      <w:r>
        <w:rPr>
          <w:rFonts w:ascii="Times New Roman" w:hAnsi="Times New Roman" w:eastAsia="仿宋_GB2312" w:cs="Times New Roman"/>
          <w:spacing w:val="6"/>
          <w:sz w:val="32"/>
          <w:szCs w:val="32"/>
          <w:shd w:val="clear" w:color="auto" w:fill="FFFFFF"/>
        </w:rPr>
        <w:t>为高水平开启现代化发展新征程奠定坚实基础。</w:t>
      </w:r>
    </w:p>
    <w:p>
      <w:pPr>
        <w:spacing w:line="600" w:lineRule="exact"/>
        <w:ind w:firstLine="643" w:firstLineChars="200"/>
        <w:outlineLvl w:val="1"/>
        <w:rPr>
          <w:rFonts w:ascii="楷体_GB2312" w:hAnsi="楷体_GB2312" w:eastAsia="楷体_GB2312" w:cs="楷体_GB2312"/>
          <w:b/>
          <w:sz w:val="32"/>
          <w:szCs w:val="32"/>
        </w:rPr>
      </w:pPr>
      <w:bookmarkStart w:id="5" w:name="_Toc66830137"/>
      <w:r>
        <w:rPr>
          <w:rFonts w:hint="eastAsia" w:ascii="楷体_GB2312" w:hAnsi="楷体_GB2312" w:eastAsia="楷体_GB2312" w:cs="楷体_GB2312"/>
          <w:b/>
          <w:sz w:val="32"/>
          <w:szCs w:val="32"/>
        </w:rPr>
        <w:t>（二）基本原则</w:t>
      </w:r>
      <w:bookmarkEnd w:id="5"/>
    </w:p>
    <w:p>
      <w:pPr>
        <w:spacing w:line="600" w:lineRule="exact"/>
        <w:ind w:firstLine="643"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sz w:val="32"/>
          <w:szCs w:val="32"/>
        </w:rPr>
        <w:t>保基本。</w:t>
      </w:r>
      <w:r>
        <w:rPr>
          <w:rFonts w:ascii="Times New Roman" w:hAnsi="Times New Roman" w:eastAsia="仿宋_GB2312" w:cs="Times New Roman"/>
          <w:sz w:val="32"/>
          <w:szCs w:val="32"/>
        </w:rPr>
        <w:t>着眼公共服务兜底属性，筑牢底线思维，充分立足我市实际，</w:t>
      </w:r>
      <w:r>
        <w:rPr>
          <w:rFonts w:ascii="Times New Roman" w:hAnsi="Times New Roman" w:eastAsia="仿宋_GB2312" w:cs="Times New Roman"/>
          <w:spacing w:val="6"/>
          <w:sz w:val="32"/>
          <w:szCs w:val="32"/>
          <w:shd w:val="clear" w:color="auto" w:fill="FFFFFF"/>
        </w:rPr>
        <w:t>坚持尽力而为，量力而行，</w:t>
      </w:r>
      <w:r>
        <w:rPr>
          <w:rFonts w:ascii="Times New Roman" w:hAnsi="Times New Roman" w:eastAsia="仿宋_GB2312" w:cs="Times New Roman"/>
          <w:color w:val="000000"/>
          <w:kern w:val="0"/>
          <w:sz w:val="32"/>
          <w:szCs w:val="32"/>
        </w:rPr>
        <w:t>优先保障基本公共服务供给，补齐教育、医疗、养老等基本公共服务突出短板，</w:t>
      </w:r>
      <w:r>
        <w:rPr>
          <w:rFonts w:ascii="Times New Roman" w:hAnsi="Times New Roman" w:eastAsia="仿宋_GB2312" w:cs="Times New Roman"/>
          <w:spacing w:val="6"/>
          <w:sz w:val="32"/>
          <w:szCs w:val="32"/>
          <w:shd w:val="clear" w:color="auto" w:fill="FFFFFF"/>
        </w:rPr>
        <w:t>确保人民群众切实享有符合标准的公共服务。</w:t>
      </w:r>
    </w:p>
    <w:p>
      <w:pPr>
        <w:widowControl/>
        <w:spacing w:line="60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促均等。</w:t>
      </w:r>
      <w:r>
        <w:rPr>
          <w:rFonts w:ascii="Times New Roman" w:hAnsi="Times New Roman" w:eastAsia="仿宋_GB2312" w:cs="Times New Roman"/>
          <w:sz w:val="32"/>
          <w:szCs w:val="32"/>
        </w:rPr>
        <w:t>着眼</w:t>
      </w:r>
      <w:r>
        <w:rPr>
          <w:rFonts w:ascii="Times New Roman" w:hAnsi="Times New Roman" w:eastAsia="仿宋_GB2312" w:cs="Times New Roman"/>
          <w:spacing w:val="6"/>
          <w:sz w:val="32"/>
          <w:szCs w:val="32"/>
          <w:shd w:val="clear" w:color="auto" w:fill="FFFFFF"/>
        </w:rPr>
        <w:t>公共服务均等化的要求，</w:t>
      </w:r>
      <w:r>
        <w:rPr>
          <w:rFonts w:ascii="Times New Roman" w:hAnsi="Times New Roman" w:eastAsia="仿宋_GB2312" w:cs="Times New Roman"/>
          <w:color w:val="000000"/>
          <w:kern w:val="0"/>
          <w:sz w:val="32"/>
          <w:szCs w:val="32"/>
        </w:rPr>
        <w:t>以服务人口和服务半径优化公共服务资源布局，</w:t>
      </w:r>
      <w:r>
        <w:rPr>
          <w:rFonts w:ascii="Times New Roman" w:hAnsi="Times New Roman" w:eastAsia="仿宋_GB2312" w:cs="Times New Roman"/>
          <w:sz w:val="32"/>
          <w:szCs w:val="32"/>
        </w:rPr>
        <w:t>加快城乡间、区域间基本公共服务制度对接和标准统一，</w:t>
      </w:r>
      <w:r>
        <w:rPr>
          <w:rFonts w:ascii="Times New Roman" w:hAnsi="Times New Roman" w:eastAsia="仿宋_GB2312" w:cs="Times New Roman"/>
          <w:color w:val="000000"/>
          <w:kern w:val="0"/>
          <w:sz w:val="32"/>
          <w:szCs w:val="32"/>
        </w:rPr>
        <w:t>以标准化供给提高均等化水平，推进城乡、区域、人群公共服务更加普惠均等可及。</w:t>
      </w:r>
    </w:p>
    <w:p>
      <w:pPr>
        <w:spacing w:line="60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建机制。</w:t>
      </w:r>
      <w:r>
        <w:rPr>
          <w:rFonts w:ascii="Times New Roman" w:hAnsi="Times New Roman" w:eastAsia="仿宋_GB2312" w:cs="Times New Roman"/>
          <w:color w:val="000000"/>
          <w:kern w:val="0"/>
          <w:sz w:val="32"/>
          <w:szCs w:val="32"/>
        </w:rPr>
        <w:t>着眼顶层设计和制度建设，推进基本公共服务制度化、标准化、规范化建设，建立一套相对统一的公共服务管理制度，规范服务项目、强化财政管理、保障服务供给。</w:t>
      </w:r>
    </w:p>
    <w:p>
      <w:pPr>
        <w:spacing w:line="600" w:lineRule="exact"/>
        <w:rPr>
          <w:rFonts w:ascii="Times New Roman" w:hAnsi="Times New Roman" w:eastAsia="微软雅黑" w:cs="Times New Roman"/>
          <w:color w:val="333333"/>
        </w:rPr>
      </w:pPr>
      <w:r>
        <w:rPr>
          <w:rFonts w:ascii="Times New Roman" w:hAnsi="Times New Roman" w:eastAsia="仿宋_GB2312" w:cs="Times New Roman"/>
          <w:spacing w:val="6"/>
          <w:sz w:val="32"/>
          <w:szCs w:val="32"/>
          <w:shd w:val="clear" w:color="auto" w:fill="FFFFFF"/>
        </w:rPr>
        <w:t>建立多元化供给机制，</w:t>
      </w:r>
      <w:r>
        <w:rPr>
          <w:rFonts w:ascii="Times New Roman" w:hAnsi="Times New Roman" w:eastAsia="仿宋_GB2312" w:cs="Times New Roman"/>
          <w:color w:val="000000"/>
          <w:sz w:val="32"/>
          <w:szCs w:val="32"/>
        </w:rPr>
        <w:t>强化非基本公共服务供给。</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sz w:val="32"/>
          <w:szCs w:val="32"/>
        </w:rPr>
        <w:t>提品质。</w:t>
      </w:r>
      <w:r>
        <w:rPr>
          <w:rFonts w:ascii="Times New Roman" w:hAnsi="Times New Roman" w:eastAsia="仿宋_GB2312" w:cs="Times New Roman"/>
          <w:sz w:val="32"/>
          <w:szCs w:val="32"/>
        </w:rPr>
        <w:t>着眼</w:t>
      </w:r>
      <w:r>
        <w:rPr>
          <w:rFonts w:ascii="Times New Roman" w:hAnsi="Times New Roman" w:eastAsia="仿宋_GB2312" w:cs="Times New Roman"/>
          <w:spacing w:val="6"/>
          <w:sz w:val="32"/>
          <w:szCs w:val="32"/>
          <w:shd w:val="clear" w:color="auto" w:fill="FFFFFF"/>
        </w:rPr>
        <w:t>改革创新和可持续，以社会化推进公共服务供给模式创新，</w:t>
      </w:r>
      <w:r>
        <w:rPr>
          <w:rFonts w:ascii="Times New Roman" w:hAnsi="Times New Roman" w:eastAsia="仿宋_GB2312" w:cs="Times New Roman"/>
          <w:color w:val="000000"/>
          <w:kern w:val="0"/>
          <w:sz w:val="32"/>
          <w:szCs w:val="32"/>
        </w:rPr>
        <w:t>扩大个性化品质化公共服务供给</w:t>
      </w:r>
      <w:r>
        <w:rPr>
          <w:rFonts w:ascii="Times New Roman" w:hAnsi="Times New Roman" w:eastAsia="仿宋_GB2312" w:cs="Times New Roman"/>
          <w:spacing w:val="6"/>
          <w:sz w:val="32"/>
          <w:szCs w:val="32"/>
          <w:shd w:val="clear" w:color="auto" w:fill="FFFFFF"/>
        </w:rPr>
        <w:t>。</w:t>
      </w:r>
      <w:r>
        <w:rPr>
          <w:rFonts w:ascii="Times New Roman" w:hAnsi="Times New Roman" w:eastAsia="仿宋_GB2312" w:cs="Times New Roman"/>
          <w:color w:val="000000"/>
          <w:kern w:val="0"/>
          <w:sz w:val="32"/>
          <w:szCs w:val="32"/>
        </w:rPr>
        <w:t>以数字化改革，加强服务供需对接，优化公共服务资源配置，不断提高公共服务精准服务水平和供给效率</w:t>
      </w:r>
    </w:p>
    <w:p>
      <w:pPr>
        <w:spacing w:line="600" w:lineRule="exact"/>
        <w:ind w:firstLine="643" w:firstLineChars="200"/>
        <w:outlineLvl w:val="1"/>
        <w:rPr>
          <w:rFonts w:ascii="楷体_GB2312" w:hAnsi="楷体_GB2312" w:eastAsia="楷体_GB2312" w:cs="楷体_GB2312"/>
          <w:b/>
          <w:sz w:val="32"/>
          <w:szCs w:val="32"/>
        </w:rPr>
      </w:pPr>
      <w:bookmarkStart w:id="6" w:name="_Toc66830138"/>
      <w:r>
        <w:rPr>
          <w:rFonts w:hint="eastAsia" w:ascii="楷体_GB2312" w:hAnsi="楷体_GB2312" w:eastAsia="楷体_GB2312" w:cs="楷体_GB2312"/>
          <w:b/>
          <w:sz w:val="32"/>
          <w:szCs w:val="32"/>
        </w:rPr>
        <w:t>（三）主要目标</w:t>
      </w:r>
      <w:bookmarkEnd w:id="6"/>
    </w:p>
    <w:p>
      <w:pPr>
        <w:pStyle w:val="11"/>
        <w:shd w:val="clear" w:color="auto" w:fill="FFFFFF"/>
        <w:spacing w:before="0" w:beforeAutospacing="0" w:after="0" w:afterAutospacing="0" w:line="600" w:lineRule="exact"/>
        <w:ind w:firstLine="667" w:firstLineChars="200"/>
        <w:jc w:val="both"/>
        <w:rPr>
          <w:rFonts w:ascii="Times New Roman" w:hAnsi="Times New Roman" w:eastAsia="仿宋_GB2312" w:cs="Times New Roman"/>
          <w:b/>
          <w:spacing w:val="6"/>
          <w:kern w:val="2"/>
          <w:sz w:val="32"/>
          <w:szCs w:val="32"/>
          <w:shd w:val="clear" w:color="auto" w:fill="FFFFFF"/>
        </w:rPr>
      </w:pPr>
      <w:r>
        <w:rPr>
          <w:rFonts w:ascii="Times New Roman" w:hAnsi="Times New Roman" w:eastAsia="仿宋_GB2312" w:cs="Times New Roman"/>
          <w:b/>
          <w:spacing w:val="6"/>
          <w:kern w:val="2"/>
          <w:sz w:val="32"/>
          <w:szCs w:val="32"/>
          <w:shd w:val="clear" w:color="auto" w:fill="FFFFFF"/>
        </w:rPr>
        <w:t>1、“十四五”发展目标</w:t>
      </w:r>
    </w:p>
    <w:p>
      <w:pPr>
        <w:pStyle w:val="11"/>
        <w:shd w:val="clear" w:color="auto" w:fill="FFFFFF"/>
        <w:spacing w:before="0" w:beforeAutospacing="0" w:after="0" w:afterAutospacing="0" w:line="600" w:lineRule="exact"/>
        <w:ind w:firstLine="664" w:firstLineChars="200"/>
        <w:jc w:val="both"/>
        <w:rPr>
          <w:rFonts w:ascii="Times New Roman" w:hAnsi="Times New Roman" w:eastAsia="仿宋_GB2312" w:cs="Times New Roman"/>
          <w:spacing w:val="6"/>
          <w:kern w:val="2"/>
          <w:sz w:val="32"/>
          <w:szCs w:val="32"/>
          <w:shd w:val="clear" w:color="auto" w:fill="FFFFFF"/>
        </w:rPr>
      </w:pPr>
      <w:r>
        <w:rPr>
          <w:rFonts w:ascii="Times New Roman" w:hAnsi="Times New Roman" w:eastAsia="仿宋_GB2312" w:cs="Times New Roman"/>
          <w:spacing w:val="6"/>
          <w:kern w:val="2"/>
          <w:sz w:val="32"/>
          <w:szCs w:val="32"/>
          <w:shd w:val="clear" w:color="auto" w:fill="FFFFFF"/>
        </w:rPr>
        <w:t>到2025年，基本建成与“6个城市”相匹配的高质量公共服务体系，公共服务数字化改革全面深化，公共服务供给更加优质均衡，服务水平和运行效率居全省中上游，人民全生命周期公共服务需求得到高水平满足。</w:t>
      </w:r>
    </w:p>
    <w:p>
      <w:pPr>
        <w:widowControl/>
        <w:spacing w:line="600" w:lineRule="exact"/>
        <w:ind w:firstLine="667"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spacing w:val="6"/>
          <w:sz w:val="32"/>
          <w:szCs w:val="32"/>
          <w:shd w:val="clear" w:color="auto" w:fill="FFFFFF"/>
        </w:rPr>
        <w:t>服务更加均等。</w:t>
      </w:r>
      <w:r>
        <w:rPr>
          <w:rFonts w:ascii="Times New Roman" w:hAnsi="Times New Roman" w:eastAsia="仿宋_GB2312" w:cs="Times New Roman"/>
          <w:spacing w:val="6"/>
          <w:sz w:val="32"/>
          <w:szCs w:val="32"/>
          <w:shd w:val="clear" w:color="auto" w:fill="FFFFFF"/>
        </w:rPr>
        <w:t>公共服务标准更加完善，产品更加公平可及，城乡间、区域间、群体间差距基本破除，基本公共服务资源全面向基层延伸、农村覆盖、向山区海岛地区和生活困难群众倾斜，向常住人口全覆盖，市民能够就近享受高质量的公共服务。</w:t>
      </w:r>
    </w:p>
    <w:p>
      <w:pPr>
        <w:pStyle w:val="11"/>
        <w:shd w:val="clear" w:color="auto" w:fill="FFFFFF"/>
        <w:spacing w:before="0" w:beforeAutospacing="0" w:after="0" w:afterAutospacing="0" w:line="600" w:lineRule="exact"/>
        <w:ind w:firstLine="667" w:firstLineChars="200"/>
        <w:jc w:val="both"/>
        <w:rPr>
          <w:rFonts w:ascii="Times New Roman" w:hAnsi="Times New Roman" w:eastAsia="仿宋_GB2312" w:cs="Times New Roman"/>
          <w:spacing w:val="6"/>
          <w:kern w:val="2"/>
          <w:sz w:val="32"/>
          <w:szCs w:val="32"/>
          <w:shd w:val="clear" w:color="auto" w:fill="FFFFFF"/>
        </w:rPr>
      </w:pPr>
      <w:r>
        <w:rPr>
          <w:rFonts w:ascii="Times New Roman" w:hAnsi="Times New Roman" w:eastAsia="仿宋_GB2312" w:cs="Times New Roman"/>
          <w:b/>
          <w:spacing w:val="6"/>
          <w:kern w:val="2"/>
          <w:sz w:val="32"/>
          <w:szCs w:val="32"/>
          <w:shd w:val="clear" w:color="auto" w:fill="FFFFFF"/>
        </w:rPr>
        <w:t>质效不断提升。</w:t>
      </w:r>
      <w:r>
        <w:rPr>
          <w:rFonts w:ascii="Times New Roman" w:hAnsi="Times New Roman" w:eastAsia="仿宋_GB2312" w:cs="Times New Roman"/>
          <w:spacing w:val="6"/>
          <w:kern w:val="2"/>
          <w:sz w:val="32"/>
          <w:szCs w:val="32"/>
          <w:shd w:val="clear" w:color="auto" w:fill="FFFFFF"/>
        </w:rPr>
        <w:t>系统完善、层次分明、衔接配套、科学适用的公共服务体系全面建成，公共服务项目和内容更加丰富。公共服务供给与需求对接更加精准，自助服务覆盖面持续扩大，人民群众获得服务方式更加高效便捷。</w:t>
      </w:r>
    </w:p>
    <w:p>
      <w:pPr>
        <w:pStyle w:val="11"/>
        <w:shd w:val="clear" w:color="auto" w:fill="FFFFFF"/>
        <w:spacing w:before="0" w:beforeAutospacing="0" w:after="0" w:afterAutospacing="0" w:line="600" w:lineRule="exact"/>
        <w:ind w:firstLine="667" w:firstLineChars="200"/>
        <w:jc w:val="both"/>
        <w:rPr>
          <w:rFonts w:ascii="Times New Roman" w:hAnsi="Times New Roman" w:eastAsia="仿宋_GB2312" w:cs="Times New Roman"/>
          <w:b/>
          <w:spacing w:val="6"/>
          <w:kern w:val="2"/>
          <w:sz w:val="32"/>
          <w:szCs w:val="32"/>
          <w:shd w:val="clear" w:color="auto" w:fill="FFFFFF"/>
        </w:rPr>
      </w:pPr>
      <w:r>
        <w:rPr>
          <w:rFonts w:ascii="Times New Roman" w:hAnsi="Times New Roman" w:eastAsia="仿宋_GB2312" w:cs="Times New Roman"/>
          <w:b/>
          <w:spacing w:val="6"/>
          <w:kern w:val="2"/>
          <w:sz w:val="32"/>
          <w:szCs w:val="32"/>
          <w:shd w:val="clear" w:color="auto" w:fill="FFFFFF"/>
        </w:rPr>
        <w:t>制度更加健全。</w:t>
      </w:r>
      <w:r>
        <w:rPr>
          <w:rFonts w:ascii="Times New Roman" w:hAnsi="Times New Roman" w:eastAsia="仿宋_GB2312" w:cs="Times New Roman"/>
          <w:spacing w:val="6"/>
          <w:kern w:val="2"/>
          <w:sz w:val="32"/>
          <w:szCs w:val="32"/>
          <w:shd w:val="clear" w:color="auto" w:fill="FFFFFF"/>
        </w:rPr>
        <w:t>公共服务实施机制更加完善，统筹协调、财政保障、监督问责等制度全面建立，数字公共服务制度体系基本健全，服务内容、管理流程、监督评价更加透明规范，整体运行稳定高效可持续</w:t>
      </w:r>
      <w:r>
        <w:rPr>
          <w:rFonts w:ascii="Times New Roman" w:hAnsi="Times New Roman" w:eastAsia="仿宋_GB2312" w:cs="Times New Roman"/>
          <w:b/>
          <w:spacing w:val="6"/>
          <w:kern w:val="2"/>
          <w:sz w:val="32"/>
          <w:szCs w:val="32"/>
          <w:shd w:val="clear" w:color="auto" w:fill="FFFFFF"/>
        </w:rPr>
        <w:t>。</w:t>
      </w:r>
    </w:p>
    <w:p>
      <w:pPr>
        <w:pStyle w:val="11"/>
        <w:shd w:val="clear" w:color="auto" w:fill="FFFFFF"/>
        <w:spacing w:before="0" w:beforeAutospacing="0" w:after="0" w:afterAutospacing="0" w:line="600" w:lineRule="exact"/>
        <w:ind w:firstLine="667" w:firstLineChars="200"/>
        <w:jc w:val="both"/>
        <w:rPr>
          <w:rFonts w:ascii="Times New Roman" w:hAnsi="Times New Roman" w:eastAsia="仿宋_GB2312" w:cs="Times New Roman"/>
          <w:spacing w:val="6"/>
          <w:kern w:val="2"/>
          <w:sz w:val="32"/>
          <w:szCs w:val="32"/>
          <w:shd w:val="clear" w:color="auto" w:fill="FFFFFF"/>
        </w:rPr>
      </w:pPr>
      <w:r>
        <w:rPr>
          <w:rFonts w:ascii="Times New Roman" w:hAnsi="Times New Roman" w:eastAsia="仿宋_GB2312" w:cs="Times New Roman"/>
          <w:b/>
          <w:spacing w:val="6"/>
          <w:kern w:val="2"/>
          <w:sz w:val="32"/>
          <w:szCs w:val="32"/>
          <w:shd w:val="clear" w:color="auto" w:fill="FFFFFF"/>
        </w:rPr>
        <w:t>方式更加多元</w:t>
      </w:r>
      <w:r>
        <w:rPr>
          <w:rFonts w:ascii="Times New Roman" w:hAnsi="Times New Roman" w:eastAsia="仿宋_GB2312" w:cs="Times New Roman"/>
          <w:spacing w:val="6"/>
          <w:kern w:val="2"/>
          <w:sz w:val="32"/>
          <w:szCs w:val="32"/>
          <w:shd w:val="clear" w:color="auto" w:fill="FFFFFF"/>
        </w:rPr>
        <w:t>。统筹协调、运行高效、多元供给的公共服务体系基本形成，社会力量参与更加踊跃，数字化改革和新技术应用全面深化，公共服务协同应用场景全面拓展，供给方式创新智能，人民群众公共服务获得感更强。</w:t>
      </w:r>
    </w:p>
    <w:p>
      <w:pPr>
        <w:spacing w:line="360" w:lineRule="auto"/>
        <w:jc w:val="center"/>
        <w:rPr>
          <w:rFonts w:ascii="Times New Roman" w:hAnsi="Times New Roman" w:eastAsia="楷体" w:cs="Times New Roman"/>
          <w:b/>
          <w:sz w:val="30"/>
          <w:szCs w:val="30"/>
        </w:rPr>
      </w:pPr>
      <w:r>
        <w:rPr>
          <w:rFonts w:ascii="Times New Roman" w:hAnsi="Times New Roman" w:eastAsia="楷体" w:cs="Times New Roman"/>
          <w:b/>
          <w:sz w:val="30"/>
          <w:szCs w:val="30"/>
        </w:rPr>
        <w:t>表2   “十四五”公共服提升主要指标目标表</w:t>
      </w:r>
    </w:p>
    <w:tbl>
      <w:tblPr>
        <w:tblStyle w:val="12"/>
        <w:tblW w:w="9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612"/>
        <w:gridCol w:w="5693"/>
        <w:gridCol w:w="99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blHeader/>
          <w:jc w:val="center"/>
        </w:trPr>
        <w:tc>
          <w:tcPr>
            <w:tcW w:w="817" w:type="dxa"/>
            <w:shd w:val="clear" w:color="auto" w:fill="auto"/>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类别</w:t>
            </w:r>
          </w:p>
        </w:tc>
        <w:tc>
          <w:tcPr>
            <w:tcW w:w="612" w:type="dxa"/>
            <w:shd w:val="clear" w:color="auto" w:fill="auto"/>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序号</w:t>
            </w:r>
          </w:p>
        </w:tc>
        <w:tc>
          <w:tcPr>
            <w:tcW w:w="5693" w:type="dxa"/>
            <w:shd w:val="clear" w:color="auto" w:fill="auto"/>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指标名称</w:t>
            </w:r>
          </w:p>
        </w:tc>
        <w:tc>
          <w:tcPr>
            <w:tcW w:w="993" w:type="dxa"/>
            <w:shd w:val="clear" w:color="auto" w:fill="auto"/>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2020年</w:t>
            </w:r>
          </w:p>
        </w:tc>
        <w:tc>
          <w:tcPr>
            <w:tcW w:w="1134" w:type="dxa"/>
            <w:shd w:val="clear" w:color="auto" w:fill="auto"/>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2025年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托育照护服务</w:t>
            </w:r>
          </w:p>
        </w:tc>
        <w:tc>
          <w:tcPr>
            <w:tcW w:w="612" w:type="dxa"/>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1</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3岁以下婴幼儿托育机构覆盖率（%）</w:t>
            </w:r>
          </w:p>
        </w:tc>
        <w:tc>
          <w:tcPr>
            <w:tcW w:w="993" w:type="dxa"/>
            <w:vAlign w:val="center"/>
          </w:tcPr>
          <w:p>
            <w:pPr>
              <w:spacing w:line="302" w:lineRule="auto"/>
              <w:jc w:val="center"/>
              <w:rPr>
                <w:rFonts w:ascii="Times New Roman" w:hAnsi="Times New Roman" w:eastAsia="仿宋" w:cs="Times New Roman"/>
                <w:b/>
                <w:color w:val="000000"/>
                <w:spacing w:val="-12"/>
                <w:szCs w:val="21"/>
              </w:rPr>
            </w:pPr>
          </w:p>
        </w:tc>
        <w:tc>
          <w:tcPr>
            <w:tcW w:w="1134" w:type="dxa"/>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2</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每千人拥有3岁以下婴幼儿托位数（个）</w:t>
            </w:r>
          </w:p>
        </w:tc>
        <w:tc>
          <w:tcPr>
            <w:tcW w:w="993" w:type="dxa"/>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2.0</w:t>
            </w:r>
          </w:p>
        </w:tc>
        <w:tc>
          <w:tcPr>
            <w:tcW w:w="1134" w:type="dxa"/>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b/>
                <w:color w:val="000000"/>
                <w:spacing w:val="-12"/>
                <w:szCs w:val="21"/>
              </w:rPr>
            </w:pPr>
            <w:r>
              <w:rPr>
                <w:rFonts w:ascii="Times New Roman" w:hAnsi="Times New Roman" w:eastAsia="仿宋" w:cs="Times New Roman"/>
                <w:b/>
                <w:color w:val="000000"/>
                <w:spacing w:val="-12"/>
                <w:szCs w:val="21"/>
              </w:rPr>
              <w:t>3</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婴幼儿照护服务机构从业人员持证率（%）</w:t>
            </w:r>
          </w:p>
        </w:tc>
        <w:tc>
          <w:tcPr>
            <w:tcW w:w="993" w:type="dxa"/>
            <w:vAlign w:val="center"/>
          </w:tcPr>
          <w:p>
            <w:pPr>
              <w:spacing w:line="302" w:lineRule="auto"/>
              <w:jc w:val="center"/>
              <w:rPr>
                <w:rFonts w:ascii="Times New Roman" w:hAnsi="Times New Roman" w:eastAsia="仿宋" w:cs="Times New Roman"/>
                <w:b/>
                <w:color w:val="000000"/>
                <w:spacing w:val="-12"/>
                <w:szCs w:val="21"/>
              </w:rPr>
            </w:pPr>
          </w:p>
        </w:tc>
        <w:tc>
          <w:tcPr>
            <w:tcW w:w="1134" w:type="dxa"/>
            <w:vAlign w:val="center"/>
          </w:tcPr>
          <w:p>
            <w:pPr>
              <w:spacing w:line="302" w:lineRule="auto"/>
              <w:jc w:val="center"/>
              <w:rPr>
                <w:rFonts w:ascii="Times New Roman" w:hAnsi="Times New Roman" w:eastAsia="仿宋" w:cs="Times New Roman"/>
                <w:b/>
                <w:color w:val="000000"/>
                <w:spacing w:val="-12"/>
                <w:szCs w:val="21"/>
              </w:rPr>
            </w:pPr>
            <w:r>
              <w:rPr>
                <w:rFonts w:hint="eastAsia" w:ascii="Times New Roman" w:hAnsi="Times New Roman" w:eastAsia="仿宋" w:cs="Times New Roman"/>
                <w:b/>
                <w:color w:val="000000"/>
                <w:spacing w:val="-12"/>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现代教育服务</w:t>
            </w: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儿童预期受教育年限（年）</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5</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惠普幼儿园（含公办园）比例（%）</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92.36</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6</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持证适龄残疾儿童少年入学率：学前段、义务段、高中段（%）</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7</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全国义务教育优质均衡发展县（市、区）比例（%）</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8</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rPr>
              <w:t>高等教育毛入学率（</w:t>
            </w:r>
            <w:r>
              <w:rPr>
                <w:rFonts w:ascii="Times New Roman" w:hAnsi="Times New Roman" w:cs="Times New Roman"/>
                <w:color w:val="000000"/>
              </w:rPr>
              <w:t>%</w:t>
            </w:r>
            <w:r>
              <w:rPr>
                <w:rFonts w:ascii="Times New Roman" w:hAnsi="Times New Roman" w:eastAsia="仿宋_GB2312" w:cs="Times New Roman"/>
                <w:color w:val="000000"/>
              </w:rPr>
              <w:t>）</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60</w:t>
            </w: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_GB2312" w:cs="Times New Roman"/>
                <w:color w:val="000000"/>
              </w:rPr>
            </w:pPr>
            <w:r>
              <w:rPr>
                <w:rFonts w:ascii="Times New Roman" w:hAnsi="Times New Roman" w:eastAsia="仿宋_GB2312" w:cs="Times New Roman"/>
                <w:color w:val="000000"/>
              </w:rPr>
              <w:t>9</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 xml:space="preserve">高水平大学数量 </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就业创业服务</w:t>
            </w: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10</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rPr>
              <w:t>居民人均可支配收入增长（</w:t>
            </w:r>
            <w:r>
              <w:rPr>
                <w:rFonts w:ascii="Times New Roman" w:hAnsi="Times New Roman" w:cs="Times New Roman"/>
                <w:color w:val="000000"/>
              </w:rPr>
              <w:t>%</w:t>
            </w:r>
            <w:r>
              <w:rPr>
                <w:rFonts w:ascii="Times New Roman" w:hAnsi="Times New Roman" w:eastAsia="仿宋_GB2312" w:cs="Times New Roman"/>
                <w:color w:val="000000"/>
              </w:rPr>
              <w:t>）</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8.5</w:t>
            </w: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11</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rPr>
              <w:t>劳动年龄人口平均受教育年限（年）</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9.9</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12</w:t>
            </w:r>
          </w:p>
        </w:tc>
        <w:tc>
          <w:tcPr>
            <w:tcW w:w="5693" w:type="dxa"/>
            <w:vAlign w:val="center"/>
          </w:tcPr>
          <w:p>
            <w:pPr>
              <w:spacing w:line="302" w:lineRule="auto"/>
              <w:rPr>
                <w:rFonts w:ascii="Times New Roman" w:hAnsi="Times New Roman" w:eastAsia="仿宋_GB2312" w:cs="Times New Roman"/>
                <w:b/>
                <w:color w:val="000000"/>
                <w:szCs w:val="21"/>
              </w:rPr>
            </w:pPr>
            <w:r>
              <w:rPr>
                <w:rFonts w:ascii="Times New Roman" w:hAnsi="Times New Roman" w:eastAsia="仿宋_GB2312" w:cs="Times New Roman"/>
                <w:color w:val="000000"/>
                <w:szCs w:val="21"/>
              </w:rPr>
              <w:t>新增城镇就业人数（万人）</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[19.67]</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13</w:t>
            </w:r>
          </w:p>
        </w:tc>
        <w:tc>
          <w:tcPr>
            <w:tcW w:w="5693" w:type="dxa"/>
            <w:vAlign w:val="center"/>
          </w:tcPr>
          <w:p>
            <w:pPr>
              <w:spacing w:line="302" w:lineRule="auto"/>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highlight w:val="none"/>
              </w:rPr>
              <w:t>城镇调查失业率（</w:t>
            </w:r>
            <w:r>
              <w:rPr>
                <w:rFonts w:ascii="Times New Roman" w:hAnsi="Times New Roman" w:cs="Times New Roman"/>
                <w:color w:val="000000"/>
                <w:highlight w:val="none"/>
              </w:rPr>
              <w:t>%</w:t>
            </w:r>
            <w:r>
              <w:rPr>
                <w:rFonts w:hint="eastAsia" w:ascii="Times New Roman" w:hAnsi="Times New Roman" w:eastAsia="仿宋_GB2312" w:cs="Times New Roman"/>
                <w:color w:val="000000"/>
                <w:highlight w:val="none"/>
              </w:rPr>
              <w:t>）</w:t>
            </w:r>
          </w:p>
        </w:tc>
        <w:tc>
          <w:tcPr>
            <w:tcW w:w="993" w:type="dxa"/>
            <w:vAlign w:val="center"/>
          </w:tcPr>
          <w:p>
            <w:pPr>
              <w:spacing w:line="302" w:lineRule="auto"/>
              <w:jc w:val="center"/>
              <w:rPr>
                <w:rFonts w:ascii="Times New Roman" w:hAnsi="Times New Roman" w:eastAsia="仿宋" w:cs="Times New Roman"/>
                <w:color w:val="000000"/>
                <w:szCs w:val="21"/>
                <w:highlight w:val="none"/>
              </w:rPr>
            </w:pPr>
          </w:p>
        </w:tc>
        <w:tc>
          <w:tcPr>
            <w:tcW w:w="1134" w:type="dxa"/>
            <w:vAlign w:val="center"/>
          </w:tcPr>
          <w:p>
            <w:pPr>
              <w:spacing w:line="302" w:lineRule="auto"/>
              <w:jc w:val="center"/>
              <w:rPr>
                <w:rFonts w:ascii="Times New Roman" w:hAnsi="Times New Roman" w:eastAsia="仿宋"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14</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职业技能培训（万人）</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15</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工伤保险参保人数（万人）</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244</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highlight w:val="none"/>
              </w:rPr>
            </w:pPr>
            <w:r>
              <w:rPr>
                <w:rFonts w:ascii="Times New Roman" w:hAnsi="Times New Roman" w:eastAsia="仿宋" w:cs="Times New Roman"/>
                <w:color w:val="000000"/>
                <w:szCs w:val="21"/>
                <w:highlight w:val="none"/>
              </w:rPr>
              <w:t>16</w:t>
            </w:r>
          </w:p>
        </w:tc>
        <w:tc>
          <w:tcPr>
            <w:tcW w:w="5693" w:type="dxa"/>
            <w:vAlign w:val="center"/>
          </w:tcPr>
          <w:p>
            <w:pPr>
              <w:spacing w:line="302" w:lineRule="auto"/>
              <w:rPr>
                <w:rFonts w:ascii="Times New Roman" w:hAnsi="Times New Roman" w:eastAsia="仿宋_GB2312" w:cs="Times New Roman"/>
                <w:color w:val="000000"/>
                <w:szCs w:val="21"/>
                <w:highlight w:val="none"/>
              </w:rPr>
            </w:pPr>
            <w:r>
              <w:rPr>
                <w:rFonts w:hint="eastAsia" w:ascii="Times New Roman" w:hAnsi="Times New Roman" w:eastAsia="仿宋_GB2312" w:cs="Times New Roman"/>
                <w:color w:val="000000"/>
                <w:highlight w:val="none"/>
              </w:rPr>
              <w:t>失业保险参保人数（万人）</w:t>
            </w:r>
          </w:p>
        </w:tc>
        <w:tc>
          <w:tcPr>
            <w:tcW w:w="993" w:type="dxa"/>
            <w:vAlign w:val="center"/>
          </w:tcPr>
          <w:p>
            <w:pPr>
              <w:spacing w:line="302" w:lineRule="auto"/>
              <w:jc w:val="center"/>
              <w:rPr>
                <w:rFonts w:ascii="Times New Roman" w:hAnsi="Times New Roman" w:eastAsia="仿宋" w:cs="Times New Roman"/>
                <w:color w:val="000000"/>
                <w:szCs w:val="21"/>
                <w:highlight w:val="none"/>
              </w:rPr>
            </w:pPr>
          </w:p>
        </w:tc>
        <w:tc>
          <w:tcPr>
            <w:tcW w:w="1134" w:type="dxa"/>
            <w:vAlign w:val="center"/>
          </w:tcPr>
          <w:p>
            <w:pPr>
              <w:spacing w:line="302" w:lineRule="auto"/>
              <w:jc w:val="center"/>
              <w:rPr>
                <w:rFonts w:ascii="Times New Roman" w:hAnsi="Times New Roman" w:eastAsia="仿宋" w:cs="Times New Roman"/>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医疗卫生服务</w:t>
            </w:r>
          </w:p>
          <w:p>
            <w:pPr>
              <w:spacing w:line="302" w:lineRule="auto"/>
              <w:jc w:val="center"/>
              <w:rPr>
                <w:rFonts w:ascii="Times New Roman" w:hAnsi="Times New Roman" w:eastAsia="仿宋_GB2312" w:cs="Times New Roman"/>
                <w:b/>
                <w:color w:val="000000"/>
                <w:szCs w:val="21"/>
              </w:rPr>
            </w:pPr>
          </w:p>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17</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每千人口拥有医疗机构床位数（张）</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5.08</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18</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每千人口执业（助理）医师数（常住人口）（人）</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3.26</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19</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rPr>
              <w:t>每千人护士数（人）</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3.55</w:t>
            </w: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20</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重大慢病过早死亡率（%）</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9.47</w:t>
            </w:r>
          </w:p>
        </w:tc>
        <w:tc>
          <w:tcPr>
            <w:tcW w:w="1134" w:type="dxa"/>
            <w:vAlign w:val="center"/>
          </w:tcPr>
          <w:p>
            <w:pPr>
              <w:spacing w:line="302" w:lineRule="auto"/>
              <w:jc w:val="center"/>
              <w:rPr>
                <w:rFonts w:ascii="Times New Roman" w:hAnsi="Times New Roman" w:eastAsia="仿宋" w:cs="Times New Roman"/>
                <w:color w:val="000000"/>
                <w:szCs w:val="21"/>
              </w:rPr>
            </w:pPr>
            <w:r>
              <w:rPr>
                <w:rFonts w:ascii="Arial" w:hAnsi="Arial" w:cs="Arial"/>
                <w:color w:val="333333"/>
                <w:sz w:val="22"/>
                <w:shd w:val="clear" w:color="auto" w:fill="FFFFFF"/>
              </w:rPr>
              <w:t>≤</w:t>
            </w:r>
            <w:r>
              <w:rPr>
                <w:rFonts w:hint="eastAsia" w:ascii="Times New Roman" w:hAnsi="Times New Roman" w:eastAsia="仿宋" w:cs="Times New Roman"/>
                <w:color w:val="000000"/>
                <w:szCs w:val="21"/>
              </w:rPr>
              <w:t>8.98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szCs w:val="21"/>
              </w:rPr>
            </w:pPr>
            <w:r>
              <w:rPr>
                <w:rFonts w:ascii="Times New Roman" w:hAnsi="Times New Roman" w:eastAsia="仿宋" w:cs="Times New Roman"/>
                <w:szCs w:val="21"/>
              </w:rPr>
              <w:t>21</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传染病收治能力（床/万人口）</w:t>
            </w:r>
          </w:p>
        </w:tc>
        <w:tc>
          <w:tcPr>
            <w:tcW w:w="993" w:type="dxa"/>
            <w:vAlign w:val="center"/>
          </w:tcPr>
          <w:p>
            <w:pPr>
              <w:spacing w:line="302" w:lineRule="auto"/>
              <w:jc w:val="center"/>
              <w:rPr>
                <w:rFonts w:ascii="Times New Roman" w:hAnsi="Times New Roman" w:eastAsia="仿宋" w:cs="Times New Roman"/>
                <w:szCs w:val="21"/>
              </w:rPr>
            </w:pPr>
          </w:p>
        </w:tc>
        <w:tc>
          <w:tcPr>
            <w:tcW w:w="1134" w:type="dxa"/>
            <w:vAlign w:val="center"/>
          </w:tcPr>
          <w:p>
            <w:pPr>
              <w:spacing w:line="302"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szCs w:val="21"/>
              </w:rPr>
            </w:pPr>
            <w:r>
              <w:rPr>
                <w:rFonts w:ascii="Times New Roman" w:hAnsi="Times New Roman" w:eastAsia="仿宋" w:cs="Times New Roman"/>
                <w:szCs w:val="21"/>
              </w:rPr>
              <w:t>22</w:t>
            </w:r>
          </w:p>
        </w:tc>
        <w:tc>
          <w:tcPr>
            <w:tcW w:w="5693" w:type="dxa"/>
            <w:vAlign w:val="center"/>
          </w:tcPr>
          <w:p>
            <w:pPr>
              <w:spacing w:line="302" w:lineRule="auto"/>
              <w:rPr>
                <w:rFonts w:ascii="Times New Roman" w:hAnsi="Times New Roman" w:eastAsia="仿宋_GB2312" w:cs="Times New Roman"/>
                <w:color w:val="auto"/>
                <w:szCs w:val="21"/>
              </w:rPr>
            </w:pPr>
            <w:r>
              <w:rPr>
                <w:rFonts w:ascii="Times New Roman" w:hAnsi="Times New Roman" w:eastAsia="仿宋_GB2312" w:cs="Times New Roman"/>
                <w:color w:val="auto"/>
                <w:szCs w:val="21"/>
              </w:rPr>
              <w:t>人均预期寿命（年）</w:t>
            </w:r>
          </w:p>
        </w:tc>
        <w:tc>
          <w:tcPr>
            <w:tcW w:w="993" w:type="dxa"/>
            <w:vAlign w:val="center"/>
          </w:tcPr>
          <w:p>
            <w:pPr>
              <w:spacing w:line="302" w:lineRule="auto"/>
              <w:jc w:val="center"/>
              <w:rPr>
                <w:rFonts w:ascii="Times New Roman" w:hAnsi="Times New Roman" w:eastAsia="仿宋" w:cs="Times New Roman"/>
                <w:color w:val="auto"/>
                <w:szCs w:val="21"/>
              </w:rPr>
            </w:pPr>
            <w:r>
              <w:rPr>
                <w:rFonts w:ascii="Times New Roman" w:hAnsi="Times New Roman" w:eastAsia="仿宋" w:cs="Times New Roman"/>
                <w:color w:val="auto"/>
                <w:szCs w:val="21"/>
              </w:rPr>
              <w:t>81.33</w:t>
            </w:r>
          </w:p>
        </w:tc>
        <w:tc>
          <w:tcPr>
            <w:tcW w:w="1134" w:type="dxa"/>
            <w:vAlign w:val="center"/>
          </w:tcPr>
          <w:p>
            <w:pPr>
              <w:spacing w:line="302" w:lineRule="auto"/>
              <w:jc w:val="center"/>
              <w:rPr>
                <w:rFonts w:ascii="Times New Roman" w:hAnsi="Times New Roman" w:eastAsia="仿宋" w:cs="Times New Roman"/>
                <w:color w:val="auto"/>
                <w:szCs w:val="21"/>
              </w:rPr>
            </w:pPr>
            <w:r>
              <w:rPr>
                <w:rFonts w:ascii="Times New Roman" w:hAnsi="Times New Roman" w:eastAsia="仿宋" w:cs="Times New Roman"/>
                <w:color w:val="auto"/>
                <w:szCs w:val="21"/>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szCs w:val="21"/>
              </w:rPr>
            </w:pPr>
            <w:r>
              <w:rPr>
                <w:rFonts w:ascii="Times New Roman" w:hAnsi="Times New Roman" w:eastAsia="仿宋" w:cs="Times New Roman"/>
                <w:szCs w:val="21"/>
              </w:rPr>
              <w:t>23</w:t>
            </w:r>
          </w:p>
        </w:tc>
        <w:tc>
          <w:tcPr>
            <w:tcW w:w="5693" w:type="dxa"/>
            <w:vAlign w:val="center"/>
          </w:tcPr>
          <w:p>
            <w:pPr>
              <w:spacing w:line="302" w:lineRule="auto"/>
              <w:rPr>
                <w:rFonts w:ascii="Times New Roman" w:hAnsi="Times New Roman" w:eastAsia="仿宋_GB2312" w:cs="Times New Roman"/>
                <w:color w:val="auto"/>
                <w:szCs w:val="21"/>
              </w:rPr>
            </w:pPr>
            <w:r>
              <w:rPr>
                <w:rFonts w:ascii="Times New Roman" w:hAnsi="Times New Roman" w:eastAsia="仿宋_GB2312" w:cs="Times New Roman"/>
                <w:color w:val="auto"/>
                <w:szCs w:val="21"/>
              </w:rPr>
              <w:t>基层就诊率</w:t>
            </w:r>
          </w:p>
        </w:tc>
        <w:tc>
          <w:tcPr>
            <w:tcW w:w="993" w:type="dxa"/>
            <w:vAlign w:val="center"/>
          </w:tcPr>
          <w:p>
            <w:pPr>
              <w:spacing w:line="302" w:lineRule="auto"/>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65</w:t>
            </w:r>
          </w:p>
        </w:tc>
        <w:tc>
          <w:tcPr>
            <w:tcW w:w="1134" w:type="dxa"/>
            <w:vAlign w:val="center"/>
          </w:tcPr>
          <w:p>
            <w:pPr>
              <w:spacing w:line="302" w:lineRule="auto"/>
              <w:jc w:val="center"/>
              <w:rPr>
                <w:rFonts w:ascii="Times New Roman" w:hAnsi="Times New Roman" w:eastAsia="仿宋" w:cs="Times New Roman"/>
                <w:color w:val="auto"/>
                <w:szCs w:val="21"/>
              </w:rPr>
            </w:pPr>
            <w:r>
              <w:rPr>
                <w:rFonts w:hint="eastAsia" w:ascii="Times New Roman" w:hAnsi="Times New Roman" w:eastAsia="仿宋" w:cs="Times New Roman"/>
                <w:color w:val="auto"/>
                <w:szCs w:val="21"/>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szCs w:val="21"/>
              </w:rPr>
            </w:pPr>
            <w:r>
              <w:rPr>
                <w:rFonts w:ascii="Times New Roman" w:hAnsi="Times New Roman" w:eastAsia="仿宋" w:cs="Times New Roman"/>
                <w:szCs w:val="21"/>
              </w:rPr>
              <w:t>24</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基本医疗保险参保率（%）</w:t>
            </w:r>
          </w:p>
        </w:tc>
        <w:tc>
          <w:tcPr>
            <w:tcW w:w="993" w:type="dxa"/>
            <w:vAlign w:val="center"/>
          </w:tcPr>
          <w:p>
            <w:pPr>
              <w:spacing w:line="302" w:lineRule="auto"/>
              <w:jc w:val="center"/>
              <w:rPr>
                <w:rFonts w:ascii="Times New Roman" w:hAnsi="Times New Roman" w:eastAsia="仿宋" w:cs="Times New Roman"/>
                <w:szCs w:val="21"/>
              </w:rPr>
            </w:pPr>
          </w:p>
        </w:tc>
        <w:tc>
          <w:tcPr>
            <w:tcW w:w="1134" w:type="dxa"/>
            <w:vAlign w:val="center"/>
          </w:tcPr>
          <w:p>
            <w:pPr>
              <w:spacing w:line="302" w:lineRule="auto"/>
              <w:jc w:val="center"/>
              <w:rPr>
                <w:rFonts w:ascii="Times New Roman" w:hAnsi="Times New Roman" w:eastAsia="仿宋"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szCs w:val="21"/>
              </w:rPr>
            </w:pPr>
            <w:r>
              <w:rPr>
                <w:rFonts w:ascii="Times New Roman" w:hAnsi="Times New Roman" w:eastAsia="仿宋" w:cs="Times New Roman"/>
                <w:szCs w:val="21"/>
              </w:rPr>
              <w:t>25</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儿童青少年总体近视率降低（%）</w:t>
            </w:r>
          </w:p>
        </w:tc>
        <w:tc>
          <w:tcPr>
            <w:tcW w:w="993" w:type="dxa"/>
            <w:vAlign w:val="center"/>
          </w:tcPr>
          <w:p>
            <w:pPr>
              <w:spacing w:line="302" w:lineRule="auto"/>
              <w:jc w:val="center"/>
              <w:rPr>
                <w:rFonts w:ascii="Times New Roman" w:hAnsi="Times New Roman" w:eastAsia="仿宋" w:cs="Times New Roman"/>
                <w:szCs w:val="21"/>
              </w:rPr>
            </w:pPr>
            <w:r>
              <w:rPr>
                <w:rFonts w:hint="eastAsia" w:ascii="Times New Roman" w:hAnsi="Times New Roman" w:eastAsia="仿宋" w:cs="Times New Roman"/>
                <w:szCs w:val="21"/>
              </w:rPr>
              <w:t>--</w:t>
            </w:r>
          </w:p>
        </w:tc>
        <w:tc>
          <w:tcPr>
            <w:tcW w:w="1134" w:type="dxa"/>
            <w:vAlign w:val="center"/>
          </w:tcPr>
          <w:p>
            <w:pPr>
              <w:spacing w:line="302" w:lineRule="auto"/>
              <w:jc w:val="center"/>
              <w:rPr>
                <w:rFonts w:ascii="Times New Roman" w:hAnsi="Times New Roman" w:eastAsia="仿宋" w:cs="Times New Roman"/>
                <w:szCs w:val="21"/>
              </w:rPr>
            </w:pPr>
            <w:r>
              <w:rPr>
                <w:rFonts w:hint="eastAsia" w:ascii="Times New Roman" w:hAnsi="Times New Roman" w:eastAsia="仿宋" w:cs="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公共文体服务</w:t>
            </w: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26</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文化及相关产业增加值（亿元）</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231</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27</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居民综合阅读率（%）</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89.1</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93.5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28</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每万人拥有公共文化设施面积（平方米）</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1900</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29</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 xml:space="preserve">人均体育场地面积（平方米） </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2.28</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30</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 xml:space="preserve">国民体质合格率（%） </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93.5</w:t>
            </w:r>
          </w:p>
        </w:tc>
        <w:tc>
          <w:tcPr>
            <w:tcW w:w="1134"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31</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体育产业增加值占GDP比重（%）</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1.0</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宜居生活服务</w:t>
            </w:r>
          </w:p>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32</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城镇住房保障受益覆盖率（%）</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23.75</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33</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 xml:space="preserve">城镇老旧小区改造数量（个） </w:t>
            </w:r>
          </w:p>
        </w:tc>
        <w:tc>
          <w:tcPr>
            <w:tcW w:w="993" w:type="dxa"/>
            <w:vAlign w:val="center"/>
          </w:tcPr>
          <w:p>
            <w:pPr>
              <w:spacing w:line="302" w:lineRule="auto"/>
              <w:jc w:val="center"/>
              <w:rPr>
                <w:rFonts w:ascii="Times New Roman" w:hAnsi="Times New Roman" w:eastAsia="仿宋" w:cs="Times New Roman"/>
                <w:color w:val="000000"/>
                <w:szCs w:val="21"/>
              </w:rPr>
            </w:pPr>
            <w:r>
              <w:rPr>
                <w:rFonts w:ascii="Arial" w:hAnsi="Arial" w:cs="Arial"/>
                <w:color w:val="333333"/>
                <w:sz w:val="22"/>
                <w:shd w:val="clear" w:color="auto" w:fill="FFFFFF"/>
              </w:rPr>
              <w:t>≥</w:t>
            </w:r>
            <w:r>
              <w:rPr>
                <w:rFonts w:hint="eastAsia" w:ascii="Times New Roman" w:hAnsi="Times New Roman" w:eastAsia="仿宋" w:cs="Times New Roman"/>
                <w:color w:val="000000"/>
                <w:szCs w:val="21"/>
              </w:rPr>
              <w:t>45</w:t>
            </w:r>
            <w:r>
              <w:rPr>
                <w:rFonts w:ascii="Times New Roman" w:hAnsi="Times New Roman" w:eastAsia="仿宋" w:cs="Times New Roman"/>
                <w:color w:val="000000"/>
                <w:szCs w:val="21"/>
              </w:rPr>
              <w:t xml:space="preserve"> </w:t>
            </w:r>
          </w:p>
        </w:tc>
        <w:tc>
          <w:tcPr>
            <w:tcW w:w="1134" w:type="dxa"/>
            <w:vAlign w:val="center"/>
          </w:tcPr>
          <w:p>
            <w:pPr>
              <w:spacing w:line="302" w:lineRule="auto"/>
              <w:jc w:val="center"/>
              <w:rPr>
                <w:rFonts w:ascii="Times New Roman" w:hAnsi="Times New Roman" w:eastAsia="仿宋" w:cs="Times New Roman"/>
                <w:color w:val="000000"/>
                <w:szCs w:val="21"/>
              </w:rPr>
            </w:pPr>
            <w:r>
              <w:rPr>
                <w:rFonts w:ascii="Arial" w:hAnsi="Arial" w:cs="Arial"/>
                <w:color w:val="333333"/>
                <w:sz w:val="22"/>
                <w:shd w:val="clear" w:color="auto" w:fill="FFFFFF"/>
              </w:rPr>
              <w:t>≥</w:t>
            </w:r>
            <w:r>
              <w:rPr>
                <w:rFonts w:hint="eastAsia" w:ascii="Times New Roman" w:hAnsi="Times New Roman" w:eastAsia="仿宋" w:cs="Times New Roman"/>
                <w:color w:val="000000"/>
                <w:szCs w:val="21"/>
              </w:rPr>
              <w:t>170</w:t>
            </w:r>
            <w:r>
              <w:rPr>
                <w:rFonts w:ascii="Times New Roman" w:hAnsi="Times New Roman" w:eastAsia="仿宋" w:cs="Times New Roman"/>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34</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 xml:space="preserve">地级及以上城市空气质量优良天数比率（%） </w:t>
            </w:r>
          </w:p>
        </w:tc>
        <w:tc>
          <w:tcPr>
            <w:tcW w:w="993" w:type="dxa"/>
            <w:vAlign w:val="center"/>
          </w:tcPr>
          <w:p>
            <w:pPr>
              <w:spacing w:line="302" w:lineRule="auto"/>
              <w:jc w:val="center"/>
              <w:rPr>
                <w:rFonts w:ascii="Times New Roman" w:hAnsi="Times New Roman" w:eastAsia="仿宋" w:cs="Times New Roman"/>
                <w:color w:val="000000"/>
                <w:sz w:val="23"/>
                <w:szCs w:val="21"/>
              </w:rPr>
            </w:pPr>
            <w:r>
              <w:rPr>
                <w:rFonts w:hint="eastAsia" w:ascii="Times New Roman" w:hAnsi="Times New Roman" w:eastAsia="仿宋" w:cs="Times New Roman"/>
                <w:color w:val="000000"/>
                <w:szCs w:val="21"/>
              </w:rPr>
              <w:t>94.5</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35</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地级及以上城市细颗粒物（PM2.5）平均浓度（微克/立方米）</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25</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36</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地表水达到或好于Ⅲ类水体比例（%）</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80</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37</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城市公共交通出行分担率（%）</w:t>
            </w:r>
          </w:p>
        </w:tc>
        <w:tc>
          <w:tcPr>
            <w:tcW w:w="993" w:type="dxa"/>
            <w:vAlign w:val="center"/>
          </w:tcPr>
          <w:p>
            <w:pPr>
              <w:spacing w:line="300" w:lineRule="auto"/>
              <w:jc w:val="center"/>
              <w:rPr>
                <w:rFonts w:ascii="Times New Roman" w:hAnsi="Times New Roman" w:eastAsia="仿宋" w:cs="Times New Roman"/>
                <w:szCs w:val="21"/>
              </w:rPr>
            </w:pPr>
            <w:r>
              <w:rPr>
                <w:rFonts w:hint="eastAsia" w:ascii="Times New Roman" w:hAnsi="Times New Roman" w:eastAsia="仿宋" w:cs="Times New Roman"/>
                <w:szCs w:val="21"/>
              </w:rPr>
              <w:t>25.5</w:t>
            </w:r>
          </w:p>
        </w:tc>
        <w:tc>
          <w:tcPr>
            <w:tcW w:w="1134" w:type="dxa"/>
            <w:vAlign w:val="center"/>
          </w:tcPr>
          <w:p>
            <w:pPr>
              <w:spacing w:line="300" w:lineRule="auto"/>
              <w:jc w:val="center"/>
              <w:rPr>
                <w:rFonts w:ascii="Times New Roman" w:hAnsi="Times New Roman" w:eastAsia="仿宋" w:cs="Times New Roman"/>
                <w:szCs w:val="21"/>
              </w:rPr>
            </w:pPr>
            <w:r>
              <w:rPr>
                <w:rFonts w:hint="eastAsia" w:ascii="Times New Roman" w:hAnsi="Times New Roman" w:eastAsia="仿宋" w:cs="Times New Roman"/>
                <w:szCs w:val="21"/>
              </w:rPr>
              <w:t>32</w:t>
            </w:r>
            <w:r>
              <w:rPr>
                <w:rFonts w:hint="eastAsia" w:ascii="Times New Roman" w:hAnsi="Times New Roman" w:eastAsia="仿宋" w:cs="Times New Roman"/>
                <w:szCs w:val="21"/>
                <w:lang w:eastAsia="zh-CN"/>
              </w:rPr>
              <w:t>（</w:t>
            </w:r>
            <w:r>
              <w:rPr>
                <w:rFonts w:hint="eastAsia" w:ascii="Times New Roman" w:hAnsi="Times New Roman" w:eastAsia="仿宋" w:cs="Times New Roman"/>
                <w:szCs w:val="21"/>
              </w:rPr>
              <w:t>预估</w:t>
            </w:r>
            <w:r>
              <w:rPr>
                <w:rFonts w:hint="eastAsia" w:ascii="Times New Roman" w:hAnsi="Times New Roman" w:eastAsia="仿宋" w:cs="Times New Roman"/>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幸福养老服务</w:t>
            </w: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38</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养老机构护理型床位占比（%）</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50</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39</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每万老年人拥有持证养老护理员数（人）</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40</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基本养老保险参保率（%）</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97.7</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szCs w:val="21"/>
              </w:rPr>
            </w:pPr>
            <w:r>
              <w:rPr>
                <w:rFonts w:ascii="Times New Roman" w:hAnsi="Times New Roman" w:eastAsia="仿宋" w:cs="Times New Roman"/>
                <w:szCs w:val="21"/>
              </w:rPr>
              <w:t>41</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老年人健康管理率（%）</w:t>
            </w:r>
          </w:p>
        </w:tc>
        <w:tc>
          <w:tcPr>
            <w:tcW w:w="993" w:type="dxa"/>
            <w:vAlign w:val="center"/>
          </w:tcPr>
          <w:p>
            <w:pPr>
              <w:spacing w:line="302" w:lineRule="auto"/>
              <w:jc w:val="center"/>
              <w:rPr>
                <w:rFonts w:ascii="Times New Roman" w:hAnsi="Times New Roman" w:eastAsia="仿宋" w:cs="Times New Roman"/>
                <w:szCs w:val="21"/>
              </w:rPr>
            </w:pPr>
            <w:r>
              <w:rPr>
                <w:rFonts w:hint="eastAsia" w:ascii="Times New Roman" w:hAnsi="Times New Roman" w:eastAsia="仿宋" w:cs="Times New Roman"/>
                <w:szCs w:val="21"/>
              </w:rPr>
              <w:t>66.97</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兜底保障服务</w:t>
            </w: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42</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困难残疾人生活补贴、重度残疾人护理补贴覆盖率（%）</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43</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残疾人专业托养机构覆盖率（%）</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44</w:t>
            </w:r>
          </w:p>
        </w:tc>
        <w:tc>
          <w:tcPr>
            <w:tcW w:w="5693" w:type="dxa"/>
            <w:vAlign w:val="center"/>
          </w:tcPr>
          <w:p>
            <w:pPr>
              <w:spacing w:line="302" w:lineRule="auto"/>
              <w:rPr>
                <w:rFonts w:ascii="Times New Roman" w:hAnsi="Times New Roman" w:eastAsia="仿宋_GB2312" w:cs="Times New Roman"/>
                <w:color w:val="000000"/>
              </w:rPr>
            </w:pPr>
            <w:r>
              <w:rPr>
                <w:rFonts w:ascii="Times New Roman" w:hAnsi="Times New Roman" w:eastAsia="仿宋_GB2312" w:cs="Times New Roman"/>
                <w:color w:val="000000"/>
              </w:rPr>
              <w:t>每万人持证社会工作专业人才数</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16</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45</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计划分配军转干部和由政府安排工作的退役士兵（退出 消防员）安置率（%）</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jc w:val="center"/>
              <w:rPr>
                <w:rFonts w:ascii="Times New Roman" w:hAnsi="Times New Roman" w:eastAsia="仿宋_GB2312" w:cs="Times New Roman"/>
                <w:b/>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46</w:t>
            </w:r>
          </w:p>
        </w:tc>
        <w:tc>
          <w:tcPr>
            <w:tcW w:w="5693" w:type="dxa"/>
            <w:vAlign w:val="center"/>
          </w:tcPr>
          <w:p>
            <w:pPr>
              <w:widowControl/>
              <w:jc w:val="left"/>
              <w:rPr>
                <w:rFonts w:ascii="Times New Roman" w:hAnsi="Times New Roman" w:eastAsia="仿宋_GB2312" w:cs="Times New Roman"/>
                <w:color w:val="000000"/>
              </w:rPr>
            </w:pPr>
            <w:r>
              <w:rPr>
                <w:rFonts w:ascii="Times New Roman" w:hAnsi="Times New Roman" w:eastAsia="仿宋_GB2312" w:cs="Times New Roman"/>
                <w:color w:val="000000"/>
              </w:rPr>
              <w:t>每万人拥有律师数（个）</w:t>
            </w:r>
          </w:p>
        </w:tc>
        <w:tc>
          <w:tcPr>
            <w:tcW w:w="993" w:type="dxa"/>
            <w:vAlign w:val="center"/>
          </w:tcPr>
          <w:p>
            <w:pPr>
              <w:spacing w:line="302" w:lineRule="auto"/>
              <w:jc w:val="center"/>
              <w:rPr>
                <w:rFonts w:ascii="Times New Roman" w:hAnsi="Times New Roman" w:eastAsia="仿宋" w:cs="Times New Roman"/>
                <w:color w:val="000000"/>
                <w:szCs w:val="21"/>
              </w:rPr>
            </w:pP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restart"/>
            <w:vAlign w:val="center"/>
          </w:tcPr>
          <w:p>
            <w:pPr>
              <w:spacing w:line="302" w:lineRule="auto"/>
              <w:jc w:val="center"/>
              <w:rPr>
                <w:rFonts w:ascii="Times New Roman" w:hAnsi="Times New Roman" w:eastAsia="仿宋_GB2312" w:cs="Times New Roman"/>
                <w:b/>
                <w:color w:val="000000"/>
                <w:szCs w:val="21"/>
              </w:rPr>
            </w:pPr>
            <w:r>
              <w:rPr>
                <w:rFonts w:ascii="Times New Roman" w:hAnsi="Times New Roman" w:eastAsia="仿宋_GB2312" w:cs="Times New Roman"/>
                <w:b/>
                <w:color w:val="000000"/>
                <w:szCs w:val="21"/>
              </w:rPr>
              <w:t>公共安全服务</w:t>
            </w: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47</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亿元GDP生产安全事故死亡率（%）</w:t>
            </w:r>
          </w:p>
        </w:tc>
        <w:tc>
          <w:tcPr>
            <w:tcW w:w="993"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0.021</w:t>
            </w:r>
          </w:p>
        </w:tc>
        <w:tc>
          <w:tcPr>
            <w:tcW w:w="1134"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0.011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rPr>
                <w:rFonts w:ascii="Times New Roman" w:hAnsi="Times New Roman" w:eastAsia="仿宋_GB2312" w:cs="Times New Roman"/>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48</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基本药品检验合格率（%）</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100</w:t>
            </w:r>
          </w:p>
        </w:tc>
        <w:tc>
          <w:tcPr>
            <w:tcW w:w="1134" w:type="dxa"/>
            <w:vAlign w:val="center"/>
          </w:tcPr>
          <w:p>
            <w:pPr>
              <w:spacing w:line="302" w:lineRule="auto"/>
              <w:jc w:val="center"/>
              <w:rPr>
                <w:rFonts w:ascii="Times New Roman" w:hAnsi="Times New Roman" w:eastAsia="仿宋" w:cs="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rPr>
                <w:rFonts w:ascii="Times New Roman" w:hAnsi="Times New Roman" w:eastAsia="仿宋_GB2312" w:cs="Times New Roman"/>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49</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公众对食品安全满意度（%）</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88.96</w:t>
            </w:r>
          </w:p>
        </w:tc>
        <w:tc>
          <w:tcPr>
            <w:tcW w:w="1134" w:type="dxa"/>
            <w:vAlign w:val="center"/>
          </w:tcPr>
          <w:p>
            <w:pPr>
              <w:spacing w:line="302" w:lineRule="auto"/>
              <w:jc w:val="center"/>
              <w:rPr>
                <w:rFonts w:ascii="Times New Roman" w:hAnsi="Times New Roman" w:eastAsia="仿宋" w:cs="Times New Roman"/>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vMerge w:val="continue"/>
            <w:vAlign w:val="center"/>
          </w:tcPr>
          <w:p>
            <w:pPr>
              <w:spacing w:line="302" w:lineRule="auto"/>
              <w:rPr>
                <w:rFonts w:ascii="Times New Roman" w:hAnsi="Times New Roman" w:eastAsia="仿宋_GB2312" w:cs="Times New Roman"/>
                <w:color w:val="000000"/>
                <w:szCs w:val="21"/>
              </w:rPr>
            </w:pPr>
          </w:p>
        </w:tc>
        <w:tc>
          <w:tcPr>
            <w:tcW w:w="612" w:type="dxa"/>
            <w:vAlign w:val="center"/>
          </w:tcPr>
          <w:p>
            <w:pPr>
              <w:spacing w:line="302" w:lineRule="auto"/>
              <w:jc w:val="center"/>
              <w:rPr>
                <w:rFonts w:ascii="Times New Roman" w:hAnsi="Times New Roman" w:eastAsia="仿宋" w:cs="Times New Roman"/>
                <w:color w:val="000000"/>
                <w:szCs w:val="21"/>
              </w:rPr>
            </w:pPr>
            <w:r>
              <w:rPr>
                <w:rFonts w:ascii="Times New Roman" w:hAnsi="Times New Roman" w:eastAsia="仿宋" w:cs="Times New Roman"/>
                <w:color w:val="000000"/>
                <w:szCs w:val="21"/>
              </w:rPr>
              <w:t>50</w:t>
            </w:r>
          </w:p>
        </w:tc>
        <w:tc>
          <w:tcPr>
            <w:tcW w:w="5693" w:type="dxa"/>
            <w:vAlign w:val="center"/>
          </w:tcPr>
          <w:p>
            <w:pPr>
              <w:spacing w:line="302" w:lineRule="auto"/>
              <w:rPr>
                <w:rFonts w:ascii="Times New Roman" w:hAnsi="Times New Roman" w:eastAsia="仿宋_GB2312" w:cs="Times New Roman"/>
                <w:color w:val="000000"/>
                <w:szCs w:val="21"/>
              </w:rPr>
            </w:pPr>
            <w:r>
              <w:rPr>
                <w:rFonts w:ascii="Times New Roman" w:hAnsi="Times New Roman" w:eastAsia="仿宋_GB2312" w:cs="Times New Roman"/>
                <w:color w:val="000000"/>
                <w:szCs w:val="21"/>
              </w:rPr>
              <w:t>公众</w:t>
            </w:r>
            <w:r>
              <w:rPr>
                <w:rFonts w:hint="eastAsia" w:ascii="Times New Roman" w:hAnsi="Times New Roman" w:eastAsia="仿宋_GB2312" w:cs="Times New Roman"/>
                <w:color w:val="000000"/>
                <w:szCs w:val="21"/>
              </w:rPr>
              <w:t>对</w:t>
            </w:r>
            <w:r>
              <w:rPr>
                <w:rFonts w:ascii="Times New Roman" w:hAnsi="Times New Roman" w:eastAsia="仿宋_GB2312" w:cs="Times New Roman"/>
                <w:color w:val="000000"/>
                <w:szCs w:val="21"/>
              </w:rPr>
              <w:t>药品安全满意度（%）</w:t>
            </w:r>
          </w:p>
        </w:tc>
        <w:tc>
          <w:tcPr>
            <w:tcW w:w="993" w:type="dxa"/>
            <w:vAlign w:val="center"/>
          </w:tcPr>
          <w:p>
            <w:pPr>
              <w:spacing w:line="302" w:lineRule="auto"/>
              <w:jc w:val="center"/>
              <w:rPr>
                <w:rFonts w:ascii="Times New Roman" w:hAnsi="Times New Roman" w:eastAsia="仿宋" w:cs="Times New Roman"/>
                <w:color w:val="000000"/>
                <w:szCs w:val="21"/>
              </w:rPr>
            </w:pPr>
            <w:r>
              <w:rPr>
                <w:rFonts w:hint="eastAsia" w:ascii="Times New Roman" w:hAnsi="Times New Roman" w:eastAsia="仿宋" w:cs="Times New Roman"/>
                <w:color w:val="000000"/>
                <w:szCs w:val="21"/>
              </w:rPr>
              <w:t>85</w:t>
            </w:r>
          </w:p>
        </w:tc>
        <w:tc>
          <w:tcPr>
            <w:tcW w:w="1134" w:type="dxa"/>
            <w:vAlign w:val="center"/>
          </w:tcPr>
          <w:p>
            <w:pPr>
              <w:spacing w:line="302" w:lineRule="auto"/>
              <w:jc w:val="center"/>
              <w:rPr>
                <w:rFonts w:ascii="Times New Roman" w:hAnsi="Times New Roman" w:eastAsia="仿宋" w:cs="Times New Roman"/>
                <w:color w:val="000000"/>
                <w:szCs w:val="21"/>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249" w:type="dxa"/>
            <w:gridSpan w:val="5"/>
            <w:vAlign w:val="center"/>
          </w:tcPr>
          <w:p>
            <w:pPr>
              <w:spacing w:line="302" w:lineRule="auto"/>
              <w:jc w:val="left"/>
              <w:rPr>
                <w:rFonts w:ascii="Times New Roman" w:hAnsi="Times New Roman" w:eastAsia="仿宋" w:cs="Times New Roman"/>
                <w:color w:val="000000"/>
                <w:szCs w:val="21"/>
                <w:highlight w:val="yellow"/>
              </w:rPr>
            </w:pPr>
            <w:r>
              <w:rPr>
                <w:rFonts w:hint="eastAsia" w:ascii="Times New Roman" w:hAnsi="Times New Roman" w:eastAsia="仿宋" w:cs="Times New Roman"/>
                <w:color w:val="000000"/>
                <w:szCs w:val="21"/>
              </w:rPr>
              <w:t>[  ]内数据为5年累计数</w:t>
            </w:r>
          </w:p>
        </w:tc>
      </w:tr>
    </w:tbl>
    <w:p>
      <w:pPr>
        <w:spacing w:line="600" w:lineRule="exact"/>
        <w:ind w:firstLine="667" w:firstLineChars="200"/>
        <w:rPr>
          <w:rFonts w:ascii="Times New Roman" w:hAnsi="Times New Roman" w:eastAsia="仿宋_GB2312" w:cs="Times New Roman"/>
          <w:b/>
          <w:spacing w:val="6"/>
          <w:sz w:val="32"/>
          <w:szCs w:val="32"/>
          <w:shd w:val="clear" w:color="auto" w:fill="FFFFFF"/>
        </w:rPr>
      </w:pPr>
      <w:r>
        <w:rPr>
          <w:rFonts w:ascii="Times New Roman" w:hAnsi="Times New Roman" w:eastAsia="仿宋_GB2312" w:cs="Times New Roman"/>
          <w:b/>
          <w:spacing w:val="6"/>
          <w:sz w:val="32"/>
          <w:szCs w:val="32"/>
          <w:shd w:val="clear" w:color="auto" w:fill="FFFFFF"/>
        </w:rPr>
        <w:t>2、中长期发展目标</w:t>
      </w:r>
    </w:p>
    <w:p>
      <w:pPr>
        <w:spacing w:line="600" w:lineRule="exact"/>
        <w:ind w:firstLine="664"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spacing w:val="6"/>
          <w:sz w:val="32"/>
          <w:szCs w:val="32"/>
          <w:shd w:val="clear" w:color="auto" w:fill="FFFFFF"/>
        </w:rPr>
        <w:t>到2035年，建成与“6个城市”相匹配的高质量公共服务体系，高水平实现幼有所育、学有所教、劳有所得、病有所医、娱有所乐、住有所居、老有所养、弱有所扶，高品质公共服务产品广泛享受，人的全面发展取得实质性进展，成为新时代全面展示中国特色社会主义制度优越性“重要窗口”的幸福板块。</w:t>
      </w:r>
    </w:p>
    <w:p>
      <w:pPr>
        <w:spacing w:line="600" w:lineRule="exact"/>
        <w:ind w:firstLine="640" w:firstLineChars="200"/>
        <w:outlineLvl w:val="0"/>
        <w:rPr>
          <w:rFonts w:ascii="黑体" w:hAnsi="黑体" w:eastAsia="黑体" w:cs="黑体"/>
          <w:bCs/>
          <w:sz w:val="32"/>
          <w:szCs w:val="32"/>
        </w:rPr>
      </w:pPr>
      <w:bookmarkStart w:id="7" w:name="_Toc66830139"/>
      <w:r>
        <w:rPr>
          <w:rFonts w:hint="eastAsia" w:ascii="黑体" w:hAnsi="黑体" w:eastAsia="黑体" w:cs="黑体"/>
          <w:bCs/>
          <w:sz w:val="32"/>
          <w:szCs w:val="32"/>
        </w:rPr>
        <w:t>三、实施路径</w:t>
      </w:r>
      <w:bookmarkEnd w:id="7"/>
    </w:p>
    <w:p>
      <w:pPr>
        <w:spacing w:line="600" w:lineRule="exact"/>
        <w:ind w:firstLine="643" w:firstLineChars="200"/>
        <w:outlineLvl w:val="1"/>
        <w:rPr>
          <w:rFonts w:ascii="楷体_GB2312" w:hAnsi="楷体_GB2312" w:eastAsia="楷体_GB2312" w:cs="楷体_GB2312"/>
          <w:b/>
          <w:color w:val="000000" w:themeColor="text1"/>
          <w:sz w:val="32"/>
          <w:szCs w:val="32"/>
          <w14:textFill>
            <w14:solidFill>
              <w14:schemeClr w14:val="tx1"/>
            </w14:solidFill>
          </w14:textFill>
        </w:rPr>
      </w:pPr>
      <w:bookmarkStart w:id="8" w:name="_Toc66830140"/>
      <w:r>
        <w:rPr>
          <w:rFonts w:hint="eastAsia" w:ascii="楷体_GB2312" w:hAnsi="楷体_GB2312" w:eastAsia="楷体_GB2312" w:cs="楷体_GB2312"/>
          <w:b/>
          <w:color w:val="000000" w:themeColor="text1"/>
          <w:sz w:val="32"/>
          <w:szCs w:val="32"/>
          <w14:textFill>
            <w14:solidFill>
              <w14:schemeClr w14:val="tx1"/>
            </w14:solidFill>
          </w14:textFill>
        </w:rPr>
        <w:t>（一）坚持均等化，推进基本公共服务共享</w:t>
      </w:r>
      <w:bookmarkEnd w:id="8"/>
    </w:p>
    <w:p>
      <w:pPr>
        <w:autoSpaceDE w:val="0"/>
        <w:spacing w:line="600" w:lineRule="exact"/>
        <w:ind w:firstLine="643"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color w:val="000000" w:themeColor="text1"/>
          <w:sz w:val="32"/>
          <w:szCs w:val="32"/>
          <w14:textFill>
            <w14:solidFill>
              <w14:schemeClr w14:val="tx1"/>
            </w14:solidFill>
          </w14:textFill>
        </w:rPr>
        <w:t>优化基本公共服务资源配置。</w:t>
      </w:r>
      <w:r>
        <w:rPr>
          <w:rFonts w:ascii="Times New Roman" w:hAnsi="Times New Roman" w:eastAsia="仿宋_GB2312" w:cs="Times New Roman"/>
          <w:sz w:val="32"/>
          <w:szCs w:val="32"/>
        </w:rPr>
        <w:t>着力城市与农村、市域与区域之间基本公共服务均等化的体制性障碍，优化调整社会基本公共服务资源布局，建立与主体功能区相匹配的基本公共服务政策。</w:t>
      </w:r>
      <w:r>
        <w:rPr>
          <w:rFonts w:ascii="Times New Roman" w:hAnsi="Times New Roman" w:eastAsia="仿宋_GB2312" w:cs="Times New Roman"/>
          <w:spacing w:val="6"/>
          <w:sz w:val="32"/>
          <w:szCs w:val="32"/>
          <w:shd w:val="clear" w:color="auto" w:fill="FFFFFF"/>
        </w:rPr>
        <w:t>以服务人口、服务半径为主要依据，制定完善各领域基本公共服务设施建设、设备配置、人员配备等的具体标准，加快推进基本公共服务设施补点建设。</w:t>
      </w:r>
      <w:r>
        <w:rPr>
          <w:rFonts w:ascii="Times New Roman" w:hAnsi="Times New Roman" w:eastAsia="仿宋_GB2312" w:cs="Times New Roman"/>
          <w:sz w:val="32"/>
          <w:szCs w:val="32"/>
        </w:rPr>
        <w:t>中心城区，要加强基本公共服务设施尤其是高能级服务设施布局，提升基本公共服务对人口集聚和吸纳能力的支撑作用。农村、海岛和山区等，要加大基本公共服务资源倾斜力度，加快城乡间、区域间基本公共服务制度对接和标准统一，</w:t>
      </w:r>
      <w:r>
        <w:rPr>
          <w:rFonts w:ascii="Times New Roman" w:hAnsi="Times New Roman" w:eastAsia="仿宋_GB2312" w:cs="Times New Roman"/>
          <w:color w:val="000000"/>
          <w:kern w:val="0"/>
          <w:sz w:val="32"/>
          <w:szCs w:val="32"/>
        </w:rPr>
        <w:t>强化中心城区优质公共服务资源辐射农村配套政策，</w:t>
      </w:r>
      <w:r>
        <w:rPr>
          <w:rFonts w:ascii="Times New Roman" w:hAnsi="Times New Roman" w:eastAsia="仿宋_GB2312" w:cs="Times New Roman"/>
          <w:spacing w:val="6"/>
          <w:sz w:val="32"/>
          <w:szCs w:val="32"/>
          <w:shd w:val="clear" w:color="auto" w:fill="FFFFFF"/>
        </w:rPr>
        <w:t>增强基本公共服务的可及性。</w:t>
      </w:r>
    </w:p>
    <w:p>
      <w:pPr>
        <w:autoSpaceDE w:val="0"/>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000000" w:themeColor="text1"/>
          <w:sz w:val="32"/>
          <w:szCs w:val="32"/>
          <w14:textFill>
            <w14:solidFill>
              <w14:schemeClr w14:val="tx1"/>
            </w14:solidFill>
          </w14:textFill>
        </w:rPr>
        <w:t>扩大基本公共服务覆盖面。</w:t>
      </w:r>
      <w:r>
        <w:rPr>
          <w:rFonts w:ascii="Times New Roman" w:hAnsi="Times New Roman" w:eastAsia="仿宋_GB2312" w:cs="Times New Roman"/>
          <w:sz w:val="32"/>
          <w:szCs w:val="32"/>
        </w:rPr>
        <w:t>加强流动人员基本公共服务，结合户籍制度改革，逐步将基本公共服务领域各项法律法规和政策与户口性质相剥离，</w:t>
      </w:r>
      <w:r>
        <w:rPr>
          <w:rFonts w:ascii="Times New Roman" w:hAnsi="Times New Roman" w:eastAsia="仿宋_GB2312" w:cs="Times New Roman"/>
          <w:color w:val="000000"/>
          <w:kern w:val="0"/>
          <w:sz w:val="32"/>
          <w:szCs w:val="32"/>
        </w:rPr>
        <w:t>全面落实支持农业转移人口市民化财政支持政策及动态调整机制，健全异地结算、钱随人走等机制，</w:t>
      </w:r>
      <w:r>
        <w:rPr>
          <w:rFonts w:ascii="Times New Roman" w:hAnsi="Times New Roman" w:eastAsia="仿宋_GB2312" w:cs="Times New Roman"/>
          <w:sz w:val="32"/>
          <w:szCs w:val="32"/>
        </w:rPr>
        <w:t>保障符合条件的外来人口与本地居民平等享有基本公共服务，实现基本公共服务常住人口全覆盖。引导优质资源向弱势群体倾斜，强化妇女、儿童、老年人、残疾人等群体的公共服务供给保障，进一步缩小不同群体间的基本公共服务差距。</w:t>
      </w:r>
      <w:r>
        <w:rPr>
          <w:rFonts w:ascii="Times New Roman" w:hAnsi="Times New Roman" w:eastAsia="仿宋_GB2312" w:cs="Times New Roman"/>
          <w:color w:val="000000"/>
          <w:kern w:val="0"/>
          <w:sz w:val="32"/>
          <w:szCs w:val="32"/>
        </w:rPr>
        <w:t>公共服务圈开展基本公共服务跨区域合作，积极参与长三角基本公共服务便利共享。</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000000" w:themeColor="text1"/>
          <w:sz w:val="32"/>
          <w:szCs w:val="32"/>
          <w14:textFill>
            <w14:solidFill>
              <w14:schemeClr w14:val="tx1"/>
            </w14:solidFill>
          </w14:textFill>
        </w:rPr>
        <w:t>提升基本公共服务“标准化+”水平。</w:t>
      </w:r>
      <w:r>
        <w:rPr>
          <w:rFonts w:ascii="Times New Roman" w:hAnsi="Times New Roman" w:eastAsia="仿宋_GB2312" w:cs="Times New Roman"/>
          <w:sz w:val="32"/>
          <w:szCs w:val="32"/>
        </w:rPr>
        <w:t>以标准化推动基本公共服务均等化，细化明确基本公共服务清单并实施动态管理，确保基本公共服务范围和标准在城乡间、区域间、群体间基本一致。加快制定医疗卫生、社会福利等重点行业领域标准规范。推动基层服务机构标准化管理，建立服务指南、行为规范、质量承诺、服务记录追溯、服务绩效评价等制度。支持、鼓励开展国家级、省级基本公共服务标准化试点，探索开展区域性基本公共服务标准体系协作联动。建立健全市基本公共服务标准信息数据库。</w:t>
      </w:r>
    </w:p>
    <w:p>
      <w:pPr>
        <w:spacing w:line="600" w:lineRule="exact"/>
        <w:ind w:firstLine="643" w:firstLineChars="200"/>
        <w:outlineLvl w:val="1"/>
        <w:rPr>
          <w:rFonts w:ascii="楷体_GB2312" w:hAnsi="楷体_GB2312" w:eastAsia="楷体_GB2312" w:cs="楷体_GB2312"/>
          <w:b/>
          <w:color w:val="000000" w:themeColor="text1"/>
          <w:sz w:val="32"/>
          <w:szCs w:val="32"/>
          <w14:textFill>
            <w14:solidFill>
              <w14:schemeClr w14:val="tx1"/>
            </w14:solidFill>
          </w14:textFill>
        </w:rPr>
      </w:pPr>
      <w:bookmarkStart w:id="9" w:name="_Toc66830141"/>
      <w:r>
        <w:rPr>
          <w:rFonts w:hint="eastAsia" w:ascii="楷体_GB2312" w:hAnsi="楷体_GB2312" w:eastAsia="楷体_GB2312" w:cs="楷体_GB2312"/>
          <w:b/>
          <w:color w:val="000000" w:themeColor="text1"/>
          <w:sz w:val="32"/>
          <w:szCs w:val="32"/>
          <w14:textFill>
            <w14:solidFill>
              <w14:schemeClr w14:val="tx1"/>
            </w14:solidFill>
          </w14:textFill>
        </w:rPr>
        <w:t>（二）坚持数字化，提升公共服务服务效能</w:t>
      </w:r>
      <w:bookmarkEnd w:id="9"/>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加强系统谋划，提升社会领域数字化能力。</w:t>
      </w:r>
      <w:r>
        <w:rPr>
          <w:rFonts w:ascii="Times New Roman" w:hAnsi="Times New Roman" w:eastAsia="仿宋_GB2312" w:cs="Times New Roman"/>
          <w:sz w:val="32"/>
          <w:szCs w:val="32"/>
        </w:rPr>
        <w:t>围绕“婴育、教育、就业、居住、文化、体育、旅游、医疗、养老、救助、交通、家政”等领域，以全生命周期“一件事”改革为统领，创造性探索“一件事”集成协同场景，推动公共服务供给创新，在更高层次上实现基本公共服务均等化。在此基础上，以市政府工作报告关于民生实事年度任务为依据，推进民生实事落地。开展跨部门多业务协同及子场景梳理，明确每项子场景的领域、事项、指标、协同关系和数据等内容，建立“4+2+2”清单，推动跨业务流程再造、跨部门业务协同、跨行业数据共享，将群众的高频需求转化为跨部门数字社会场景应用。</w:t>
      </w:r>
    </w:p>
    <w:p>
      <w:pPr>
        <w:spacing w:line="600"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加强系统集成，拓展数字化服务场景应用。</w:t>
      </w:r>
      <w:r>
        <w:rPr>
          <w:rFonts w:ascii="Times New Roman" w:hAnsi="Times New Roman" w:eastAsia="仿宋_GB2312" w:cs="Times New Roman"/>
          <w:color w:val="000000"/>
          <w:kern w:val="0"/>
          <w:sz w:val="32"/>
          <w:szCs w:val="32"/>
        </w:rPr>
        <w:t>坚持集成创新，按照</w:t>
      </w:r>
      <w:r>
        <w:rPr>
          <w:rFonts w:ascii="Times New Roman" w:hAnsi="Times New Roman" w:eastAsia="宋体" w:cs="Times New Roman"/>
          <w:color w:val="000000"/>
          <w:kern w:val="0"/>
          <w:sz w:val="32"/>
          <w:szCs w:val="32"/>
        </w:rPr>
        <w:t>“V”</w:t>
      </w:r>
      <w:r>
        <w:rPr>
          <w:rFonts w:ascii="Times New Roman" w:hAnsi="Times New Roman" w:eastAsia="仿宋_GB2312" w:cs="Times New Roman"/>
          <w:color w:val="000000"/>
          <w:kern w:val="0"/>
          <w:sz w:val="32"/>
          <w:szCs w:val="32"/>
        </w:rPr>
        <w:t>型迭代模型，打造一批惠企惠民、好用易用的综合场景，形成</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破点</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连线</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成面</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立体</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最优方案，推动公共服务整体性优化和系统性重塑。开展未来社区标志性数字应用场景，</w:t>
      </w:r>
      <w:r>
        <w:rPr>
          <w:rFonts w:ascii="Times New Roman" w:hAnsi="Times New Roman" w:eastAsia="仿宋_GB2312" w:cs="Times New Roman"/>
          <w:sz w:val="32"/>
          <w:szCs w:val="32"/>
        </w:rPr>
        <w:t>率先提供数字生活、数字教育、数字交通、数字旅游、数字养老、数字健康等新服务跨部门协同应用，落地未来社区九大场景，形成数字社会城市基本功能单元系统。以“浙农码”为基础，</w:t>
      </w:r>
      <w:r>
        <w:rPr>
          <w:rFonts w:ascii="Times New Roman" w:hAnsi="Times New Roman" w:eastAsia="仿宋_GB2312" w:cs="Times New Roman"/>
          <w:color w:val="000000"/>
          <w:sz w:val="32"/>
          <w:szCs w:val="32"/>
        </w:rPr>
        <w:t>结合台州实际，</w:t>
      </w:r>
      <w:r>
        <w:rPr>
          <w:rFonts w:ascii="Times New Roman" w:hAnsi="Times New Roman" w:eastAsia="仿宋_GB2312" w:cs="Times New Roman"/>
          <w:sz w:val="32"/>
          <w:szCs w:val="32"/>
        </w:rPr>
        <w:t>创新场景应用，打造一批可复制、可推广的数字乡村振兴应用场景典范。充分运用数字技术，加快数字就业、数字文化、数字救助、数字养老、数字旅游、数字交通等服务直达农村，</w:t>
      </w:r>
      <w:r>
        <w:rPr>
          <w:rFonts w:ascii="Times New Roman" w:hAnsi="Times New Roman" w:eastAsia="仿宋_GB2312" w:cs="Times New Roman"/>
          <w:color w:val="000000"/>
          <w:kern w:val="0"/>
          <w:sz w:val="32"/>
          <w:szCs w:val="32"/>
        </w:rPr>
        <w:t>创建乡村数字公共服务典型应用。</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加强系统支撑，推进城市大脑建设。</w:t>
      </w:r>
      <w:r>
        <w:rPr>
          <w:rFonts w:ascii="Times New Roman" w:hAnsi="Times New Roman" w:eastAsia="仿宋_GB2312" w:cs="Times New Roman"/>
          <w:sz w:val="32"/>
          <w:szCs w:val="32"/>
        </w:rPr>
        <w:t>进一步理顺城市大脑管理运营体制机制，完善城市大脑基础设施，</w:t>
      </w:r>
      <w:r>
        <w:rPr>
          <w:rFonts w:ascii="Times New Roman" w:hAnsi="Times New Roman" w:eastAsia="仿宋_GB2312" w:cs="Times New Roman"/>
          <w:color w:val="000000"/>
          <w:kern w:val="0"/>
          <w:sz w:val="32"/>
          <w:szCs w:val="32"/>
        </w:rPr>
        <w:t>夯实数据资源基础，</w:t>
      </w:r>
      <w:r>
        <w:rPr>
          <w:rFonts w:ascii="Times New Roman" w:hAnsi="Times New Roman" w:eastAsia="仿宋_GB2312" w:cs="Times New Roman"/>
          <w:sz w:val="32"/>
          <w:szCs w:val="32"/>
        </w:rPr>
        <w:t>强化多场景应用，充分考虑和纳入与数字社会相关的数据、模块及应用，</w:t>
      </w:r>
      <w:r>
        <w:rPr>
          <w:rFonts w:ascii="Times New Roman" w:hAnsi="Times New Roman" w:eastAsia="仿宋_GB2312" w:cs="Times New Roman"/>
          <w:color w:val="000000"/>
          <w:kern w:val="0"/>
          <w:sz w:val="32"/>
          <w:szCs w:val="32"/>
        </w:rPr>
        <w:t>提升应用支撑能力，</w:t>
      </w:r>
      <w:r>
        <w:rPr>
          <w:rFonts w:ascii="Times New Roman" w:hAnsi="Times New Roman" w:eastAsia="仿宋_GB2312" w:cs="Times New Roman"/>
          <w:sz w:val="32"/>
          <w:szCs w:val="32"/>
        </w:rPr>
        <w:t>形成需求和应用闭环的工作体系。按照建设跨部门多业务协同应用需要，持续推进城市大脑迭代提升和深化应用，</w:t>
      </w:r>
      <w:r>
        <w:rPr>
          <w:rFonts w:ascii="Times New Roman" w:hAnsi="Times New Roman" w:eastAsia="仿宋_GB2312" w:cs="Times New Roman"/>
          <w:color w:val="000000"/>
          <w:kern w:val="0"/>
          <w:sz w:val="32"/>
          <w:szCs w:val="32"/>
        </w:rPr>
        <w:t>构建更加智慧化的城市大脑</w:t>
      </w:r>
      <w:r>
        <w:rPr>
          <w:rFonts w:ascii="Times New Roman" w:hAnsi="Times New Roman" w:eastAsia="仿宋_GB2312" w:cs="Times New Roman"/>
          <w:sz w:val="32"/>
          <w:szCs w:val="32"/>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
                <w:sz w:val="32"/>
                <w:szCs w:val="32"/>
              </w:rPr>
            </w:pPr>
            <w:r>
              <w:rPr>
                <w:rFonts w:ascii="Times New Roman" w:hAnsi="Times New Roman" w:eastAsia="仿宋_GB2312" w:cs="Times New Roman"/>
                <w:b/>
                <w:bCs/>
                <w:color w:val="000000"/>
                <w:sz w:val="28"/>
                <w:szCs w:val="28"/>
              </w:rPr>
              <w:t>专栏2   公共服务数字化改革重点应用项目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pStyle w:val="26"/>
              <w:overflowPunct w:val="0"/>
              <w:spacing w:line="400" w:lineRule="exact"/>
              <w:ind w:firstLine="480"/>
              <w:rPr>
                <w:rFonts w:eastAsia="仿宋_GB2312"/>
                <w:bCs/>
                <w:color w:val="000000"/>
                <w:sz w:val="24"/>
              </w:rPr>
            </w:pPr>
            <w:r>
              <w:rPr>
                <w:rFonts w:eastAsia="仿宋_GB2312"/>
                <w:bCs/>
                <w:color w:val="000000"/>
                <w:sz w:val="24"/>
              </w:rPr>
              <w:t>1．建设台州数字社会综合应用</w:t>
            </w:r>
          </w:p>
          <w:p>
            <w:pPr>
              <w:pStyle w:val="26"/>
              <w:overflowPunct w:val="0"/>
              <w:spacing w:line="400" w:lineRule="exact"/>
              <w:ind w:firstLine="480"/>
              <w:rPr>
                <w:rFonts w:eastAsia="仿宋_GB2312"/>
                <w:color w:val="000000"/>
                <w:sz w:val="24"/>
              </w:rPr>
            </w:pPr>
            <w:r>
              <w:rPr>
                <w:rFonts w:eastAsia="仿宋_GB2312"/>
                <w:bCs/>
                <w:color w:val="000000"/>
                <w:sz w:val="24"/>
              </w:rPr>
              <w:t>2．推进婴育服务数字化应用</w:t>
            </w:r>
          </w:p>
          <w:p>
            <w:pPr>
              <w:overflowPunct w:val="0"/>
              <w:spacing w:line="40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bCs/>
                <w:color w:val="000000"/>
                <w:sz w:val="24"/>
                <w:szCs w:val="24"/>
              </w:rPr>
              <w:t>3．推进“学在浙江”全民数字学习应用。</w:t>
            </w:r>
          </w:p>
          <w:p>
            <w:pPr>
              <w:pStyle w:val="26"/>
              <w:overflowPunct w:val="0"/>
              <w:spacing w:line="400" w:lineRule="exact"/>
              <w:ind w:firstLine="480"/>
              <w:rPr>
                <w:rFonts w:eastAsia="仿宋_GB2312"/>
                <w:color w:val="000000"/>
                <w:sz w:val="24"/>
              </w:rPr>
            </w:pPr>
            <w:r>
              <w:rPr>
                <w:rFonts w:eastAsia="仿宋_GB2312"/>
                <w:bCs/>
                <w:color w:val="000000"/>
                <w:sz w:val="24"/>
              </w:rPr>
              <w:t>4．推进数字就业应用。</w:t>
            </w:r>
          </w:p>
          <w:p>
            <w:pPr>
              <w:pStyle w:val="26"/>
              <w:overflowPunct w:val="0"/>
              <w:spacing w:line="400" w:lineRule="exact"/>
              <w:ind w:firstLine="480"/>
              <w:rPr>
                <w:rFonts w:eastAsia="仿宋_GB2312"/>
                <w:color w:val="000000"/>
                <w:sz w:val="24"/>
              </w:rPr>
            </w:pPr>
            <w:r>
              <w:rPr>
                <w:rFonts w:eastAsia="仿宋_GB2312"/>
                <w:bCs/>
                <w:color w:val="000000"/>
                <w:sz w:val="24"/>
              </w:rPr>
              <w:t>5．提升人才服务应用。</w:t>
            </w:r>
          </w:p>
          <w:p>
            <w:pPr>
              <w:spacing w:line="40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6．提升智慧技能一体化应用。</w:t>
            </w:r>
          </w:p>
          <w:p>
            <w:pPr>
              <w:pStyle w:val="26"/>
              <w:overflowPunct w:val="0"/>
              <w:spacing w:line="400" w:lineRule="exact"/>
              <w:ind w:firstLine="480"/>
              <w:rPr>
                <w:rFonts w:eastAsia="仿宋_GB2312"/>
                <w:sz w:val="24"/>
              </w:rPr>
            </w:pPr>
            <w:r>
              <w:rPr>
                <w:rFonts w:eastAsia="仿宋_GB2312"/>
                <w:bCs/>
                <w:sz w:val="24"/>
              </w:rPr>
              <w:t>7．建设城镇住宅小区数字化安全监管应用。</w:t>
            </w:r>
          </w:p>
          <w:p>
            <w:pPr>
              <w:pStyle w:val="26"/>
              <w:overflowPunct w:val="0"/>
              <w:spacing w:line="400" w:lineRule="exact"/>
              <w:ind w:firstLine="480"/>
              <w:rPr>
                <w:rFonts w:eastAsia="仿宋_GB2312"/>
                <w:sz w:val="24"/>
              </w:rPr>
            </w:pPr>
            <w:r>
              <w:rPr>
                <w:rFonts w:eastAsia="仿宋_GB2312"/>
                <w:bCs/>
                <w:sz w:val="24"/>
              </w:rPr>
              <w:t>8．提升城乡供水数字化管理应用。</w:t>
            </w:r>
          </w:p>
          <w:p>
            <w:pPr>
              <w:pStyle w:val="26"/>
              <w:overflowPunct w:val="0"/>
              <w:spacing w:line="400" w:lineRule="exact"/>
              <w:ind w:firstLine="480"/>
              <w:rPr>
                <w:rFonts w:eastAsia="仿宋_GB2312"/>
                <w:color w:val="000000"/>
                <w:sz w:val="24"/>
              </w:rPr>
            </w:pPr>
            <w:r>
              <w:rPr>
                <w:rFonts w:eastAsia="仿宋_GB2312"/>
                <w:bCs/>
                <w:color w:val="000000"/>
                <w:sz w:val="24"/>
              </w:rPr>
              <w:t>9．提升文化领域公共服务应用。</w:t>
            </w:r>
          </w:p>
          <w:p>
            <w:pPr>
              <w:spacing w:line="40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w:t>
            </w:r>
            <w:r>
              <w:rPr>
                <w:rFonts w:ascii="Times New Roman" w:hAnsi="Times New Roman" w:eastAsia="仿宋_GB2312" w:cs="Times New Roman"/>
                <w:bCs/>
                <w:color w:val="000000"/>
                <w:sz w:val="24"/>
                <w:szCs w:val="24"/>
              </w:rPr>
              <w:t>提升体育数字化服务应用。</w:t>
            </w:r>
          </w:p>
          <w:p>
            <w:pPr>
              <w:pStyle w:val="26"/>
              <w:overflowPunct w:val="0"/>
              <w:spacing w:line="400" w:lineRule="exact"/>
              <w:ind w:firstLine="480"/>
              <w:rPr>
                <w:rFonts w:eastAsia="仿宋_GB2312"/>
                <w:color w:val="000000"/>
                <w:sz w:val="24"/>
              </w:rPr>
            </w:pPr>
            <w:r>
              <w:rPr>
                <w:rFonts w:eastAsia="仿宋_GB2312"/>
                <w:color w:val="000000"/>
                <w:sz w:val="24"/>
              </w:rPr>
              <w:t>11．</w:t>
            </w:r>
            <w:r>
              <w:rPr>
                <w:rFonts w:eastAsia="仿宋_GB2312"/>
                <w:bCs/>
                <w:color w:val="000000"/>
                <w:sz w:val="24"/>
              </w:rPr>
              <w:t>提升“浙里好玩”公共服务系统应用。</w:t>
            </w:r>
          </w:p>
          <w:p>
            <w:pPr>
              <w:pStyle w:val="2"/>
              <w:shd w:val="clear" w:color="auto" w:fill="FFFFFF"/>
              <w:spacing w:before="0" w:beforeAutospacing="0" w:after="0" w:afterAutospacing="0" w:line="400" w:lineRule="exact"/>
              <w:ind w:firstLine="480" w:firstLineChars="200"/>
              <w:rPr>
                <w:rFonts w:ascii="Times New Roman" w:hAnsi="Times New Roman" w:eastAsia="仿宋_GB2312" w:cs="Times New Roman"/>
                <w:b w:val="0"/>
                <w:bCs w:val="0"/>
                <w:color w:val="000000"/>
                <w:kern w:val="2"/>
                <w:sz w:val="24"/>
                <w:szCs w:val="24"/>
              </w:rPr>
            </w:pPr>
            <w:bookmarkStart w:id="10" w:name="_Toc66830142"/>
            <w:r>
              <w:rPr>
                <w:rFonts w:ascii="Times New Roman" w:hAnsi="Times New Roman" w:eastAsia="仿宋_GB2312" w:cs="Times New Roman"/>
                <w:b w:val="0"/>
                <w:color w:val="000000"/>
                <w:sz w:val="24"/>
                <w:szCs w:val="24"/>
              </w:rPr>
              <w:t>12．</w:t>
            </w:r>
            <w:r>
              <w:rPr>
                <w:rFonts w:ascii="Times New Roman" w:hAnsi="Times New Roman" w:eastAsia="仿宋_GB2312" w:cs="Times New Roman"/>
                <w:b w:val="0"/>
                <w:bCs w:val="0"/>
                <w:color w:val="000000"/>
                <w:kern w:val="2"/>
                <w:sz w:val="24"/>
                <w:szCs w:val="24"/>
              </w:rPr>
              <w:t>提升“互联网+医疗健康”公共服务应用。</w:t>
            </w:r>
            <w:bookmarkEnd w:id="10"/>
          </w:p>
          <w:p>
            <w:pPr>
              <w:pStyle w:val="26"/>
              <w:overflowPunct w:val="0"/>
              <w:spacing w:line="400" w:lineRule="exact"/>
              <w:ind w:firstLine="480"/>
              <w:rPr>
                <w:rFonts w:eastAsia="仿宋_GB2312"/>
                <w:color w:val="000000"/>
                <w:sz w:val="24"/>
              </w:rPr>
            </w:pPr>
            <w:r>
              <w:rPr>
                <w:rFonts w:eastAsia="仿宋_GB2312"/>
                <w:color w:val="000000"/>
                <w:sz w:val="24"/>
              </w:rPr>
              <w:t>13．</w:t>
            </w:r>
            <w:r>
              <w:rPr>
                <w:rFonts w:eastAsia="仿宋_GB2312"/>
                <w:bCs/>
                <w:color w:val="000000"/>
                <w:sz w:val="24"/>
              </w:rPr>
              <w:t>提升智慧医保应用。</w:t>
            </w:r>
          </w:p>
          <w:p>
            <w:pPr>
              <w:pStyle w:val="26"/>
              <w:overflowPunct w:val="0"/>
              <w:spacing w:line="400" w:lineRule="exact"/>
              <w:ind w:firstLine="480"/>
              <w:rPr>
                <w:rFonts w:eastAsia="仿宋_GB2312"/>
                <w:color w:val="000000"/>
                <w:sz w:val="24"/>
              </w:rPr>
            </w:pPr>
            <w:r>
              <w:rPr>
                <w:rFonts w:eastAsia="仿宋_GB2312"/>
                <w:color w:val="000000"/>
                <w:sz w:val="24"/>
              </w:rPr>
              <w:t>14．</w:t>
            </w:r>
            <w:r>
              <w:rPr>
                <w:rFonts w:eastAsia="仿宋_GB2312"/>
                <w:bCs/>
                <w:color w:val="000000"/>
                <w:sz w:val="24"/>
              </w:rPr>
              <w:t>提升“浙里养”智慧养老服务应用。</w:t>
            </w:r>
          </w:p>
          <w:p>
            <w:pPr>
              <w:spacing w:line="40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sz w:val="24"/>
                <w:szCs w:val="24"/>
              </w:rPr>
              <w:t>15．提升大救助信息应用。</w:t>
            </w:r>
          </w:p>
          <w:p>
            <w:pPr>
              <w:spacing w:line="40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17．提升公众出行服务数字化应用。</w:t>
            </w:r>
          </w:p>
          <w:p>
            <w:pPr>
              <w:spacing w:line="400" w:lineRule="exact"/>
              <w:ind w:firstLine="480" w:firstLineChars="200"/>
              <w:outlineLvl w:val="0"/>
              <w:rPr>
                <w:rFonts w:ascii="Times New Roman" w:hAnsi="Times New Roman" w:eastAsia="仿宋_GB2312" w:cs="Times New Roman"/>
                <w:color w:val="000000"/>
                <w:sz w:val="24"/>
                <w:szCs w:val="24"/>
              </w:rPr>
            </w:pPr>
            <w:bookmarkStart w:id="11" w:name="_Toc66830143"/>
            <w:r>
              <w:rPr>
                <w:rFonts w:ascii="Times New Roman" w:hAnsi="Times New Roman" w:eastAsia="仿宋_GB2312" w:cs="Times New Roman"/>
                <w:bCs/>
                <w:color w:val="000000"/>
                <w:sz w:val="24"/>
                <w:szCs w:val="24"/>
              </w:rPr>
              <w:t>18．提升“浙家政”综合服务应用。</w:t>
            </w:r>
            <w:bookmarkEnd w:id="11"/>
          </w:p>
          <w:p>
            <w:pPr>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bCs/>
                <w:sz w:val="24"/>
                <w:szCs w:val="24"/>
              </w:rPr>
              <w:t>19．</w:t>
            </w:r>
            <w:r>
              <w:rPr>
                <w:rFonts w:ascii="Times New Roman" w:hAnsi="Times New Roman" w:eastAsia="仿宋_GB2312" w:cs="Times New Roman"/>
                <w:sz w:val="24"/>
                <w:szCs w:val="24"/>
              </w:rPr>
              <w:t>提升未来社区智慧服务应用。</w:t>
            </w:r>
          </w:p>
          <w:p>
            <w:pPr>
              <w:overflowPunct w:val="0"/>
              <w:spacing w:line="400" w:lineRule="exact"/>
              <w:ind w:firstLine="480" w:firstLineChars="200"/>
              <w:rPr>
                <w:rFonts w:ascii="Times New Roman" w:hAnsi="Times New Roman" w:eastAsia="仿宋_GB2312" w:cs="Times New Roman"/>
                <w:color w:val="000000"/>
                <w:sz w:val="24"/>
                <w:szCs w:val="24"/>
              </w:rPr>
            </w:pPr>
            <w:r>
              <w:rPr>
                <w:rFonts w:ascii="Times New Roman" w:hAnsi="Times New Roman" w:eastAsia="仿宋_GB2312" w:cs="Times New Roman"/>
                <w:bCs/>
                <w:color w:val="000000"/>
                <w:sz w:val="24"/>
                <w:szCs w:val="24"/>
              </w:rPr>
              <w:t>20．建设农村文化礼堂智慧服务应用。</w:t>
            </w:r>
          </w:p>
          <w:p>
            <w:pPr>
              <w:spacing w:line="400" w:lineRule="exact"/>
              <w:ind w:firstLine="480" w:firstLineChars="200"/>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bCs/>
                <w:color w:val="000000"/>
                <w:sz w:val="24"/>
                <w:szCs w:val="24"/>
              </w:rPr>
              <w:t>21．开发美丽乡村数字服务应用。</w:t>
            </w:r>
          </w:p>
          <w:p>
            <w:pPr>
              <w:spacing w:line="400" w:lineRule="exact"/>
              <w:ind w:firstLine="480" w:firstLineChars="200"/>
              <w:rPr>
                <w:rFonts w:ascii="Times New Roman" w:hAnsi="Times New Roman" w:eastAsia="仿宋_GB2312" w:cs="Times New Roman"/>
                <w:color w:val="000000"/>
                <w:sz w:val="24"/>
                <w:szCs w:val="24"/>
                <w:shd w:val="clear" w:color="auto" w:fill="FFFFFF"/>
              </w:rPr>
            </w:pPr>
            <w:r>
              <w:rPr>
                <w:rFonts w:ascii="Times New Roman" w:hAnsi="Times New Roman" w:eastAsia="仿宋_GB2312" w:cs="Times New Roman"/>
                <w:bCs/>
                <w:color w:val="000000"/>
                <w:sz w:val="24"/>
                <w:szCs w:val="24"/>
              </w:rPr>
              <w:t>22. 提升商品市场智慧化应用。</w:t>
            </w:r>
          </w:p>
          <w:p>
            <w:pPr>
              <w:spacing w:line="400" w:lineRule="exact"/>
              <w:ind w:firstLine="480" w:firstLineChars="200"/>
              <w:rPr>
                <w:rFonts w:ascii="Times New Roman" w:hAnsi="Times New Roman" w:eastAsia="仿宋_GB2312" w:cs="Times New Roman"/>
                <w:bCs/>
                <w:sz w:val="24"/>
                <w:szCs w:val="24"/>
              </w:rPr>
            </w:pPr>
            <w:r>
              <w:rPr>
                <w:rFonts w:ascii="Times New Roman" w:hAnsi="Times New Roman" w:eastAsia="仿宋_GB2312" w:cs="Times New Roman"/>
                <w:bCs/>
                <w:sz w:val="24"/>
                <w:szCs w:val="24"/>
              </w:rPr>
              <w:t>23. 提升退役军人管理保障数字化应用。</w:t>
            </w:r>
          </w:p>
          <w:p>
            <w:pPr>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bCs/>
                <w:color w:val="000000"/>
                <w:sz w:val="24"/>
                <w:szCs w:val="24"/>
              </w:rPr>
              <w:t>24. 提升不动产登记服务应用。</w:t>
            </w:r>
          </w:p>
          <w:p>
            <w:pPr>
              <w:overflowPunct w:val="0"/>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bCs/>
                <w:sz w:val="24"/>
                <w:szCs w:val="24"/>
              </w:rPr>
              <w:t>25．建设</w:t>
            </w:r>
            <w:r>
              <w:rPr>
                <w:rFonts w:ascii="Times New Roman" w:hAnsi="Times New Roman" w:eastAsia="仿宋_GB2312" w:cs="Times New Roman"/>
                <w:sz w:val="24"/>
                <w:szCs w:val="24"/>
              </w:rPr>
              <w:t>“匠才汇”智慧工程（技能人才职业生涯“一件事”）。</w:t>
            </w:r>
          </w:p>
          <w:p>
            <w:pPr>
              <w:overflowPunct w:val="0"/>
              <w:spacing w:line="400" w:lineRule="exact"/>
              <w:ind w:firstLine="480" w:firstLineChars="200"/>
              <w:rPr>
                <w:rFonts w:ascii="Times New Roman" w:hAnsi="Times New Roman" w:eastAsia="仿宋_GB2312" w:cs="Times New Roman"/>
                <w:bCs/>
                <w:sz w:val="24"/>
                <w:szCs w:val="24"/>
              </w:rPr>
            </w:pPr>
            <w:r>
              <w:rPr>
                <w:rFonts w:ascii="Times New Roman" w:hAnsi="Times New Roman" w:eastAsia="仿宋_GB2312" w:cs="Times New Roman"/>
                <w:bCs/>
                <w:sz w:val="24"/>
                <w:szCs w:val="24"/>
              </w:rPr>
              <w:t>26．提升文旅服务。</w:t>
            </w:r>
          </w:p>
          <w:p>
            <w:pPr>
              <w:overflowPunct w:val="0"/>
              <w:spacing w:line="400" w:lineRule="exact"/>
              <w:ind w:firstLine="480" w:firstLineChars="200"/>
              <w:rPr>
                <w:rFonts w:ascii="Times New Roman" w:hAnsi="Times New Roman" w:eastAsia="仿宋_GB2312" w:cs="Times New Roman"/>
                <w:sz w:val="24"/>
                <w:szCs w:val="24"/>
              </w:rPr>
            </w:pPr>
            <w:r>
              <w:rPr>
                <w:rFonts w:ascii="Times New Roman" w:hAnsi="Times New Roman" w:eastAsia="仿宋_GB2312" w:cs="Times New Roman"/>
                <w:sz w:val="24"/>
                <w:szCs w:val="24"/>
              </w:rPr>
              <w:t>27．推进“信用+社会服务”。</w:t>
            </w:r>
          </w:p>
          <w:p>
            <w:pPr>
              <w:overflowPunct w:val="0"/>
              <w:spacing w:line="400" w:lineRule="exact"/>
              <w:ind w:firstLine="480" w:firstLineChars="200"/>
              <w:rPr>
                <w:rFonts w:ascii="Times New Roman" w:hAnsi="Times New Roman" w:eastAsia="仿宋_GB2312" w:cs="Times New Roman"/>
                <w:b/>
                <w:sz w:val="32"/>
                <w:szCs w:val="32"/>
              </w:rPr>
            </w:pPr>
            <w:r>
              <w:rPr>
                <w:rFonts w:ascii="Times New Roman" w:hAnsi="Times New Roman" w:eastAsia="仿宋_GB2312" w:cs="Times New Roman"/>
                <w:bCs/>
                <w:color w:val="000000"/>
                <w:sz w:val="24"/>
                <w:szCs w:val="24"/>
              </w:rPr>
              <w:t>28</w:t>
            </w:r>
            <w:r>
              <w:rPr>
                <w:rFonts w:ascii="Times New Roman" w:hAnsi="Times New Roman" w:eastAsia="仿宋_GB2312" w:cs="Times New Roman"/>
                <w:sz w:val="24"/>
                <w:szCs w:val="24"/>
              </w:rPr>
              <w:t>．</w:t>
            </w:r>
            <w:r>
              <w:rPr>
                <w:rFonts w:ascii="Times New Roman" w:hAnsi="Times New Roman" w:eastAsia="仿宋_GB2312" w:cs="Times New Roman"/>
                <w:bCs/>
                <w:color w:val="000000"/>
                <w:sz w:val="24"/>
                <w:szCs w:val="24"/>
              </w:rPr>
              <w:t>提升城市大</w:t>
            </w:r>
            <w:r>
              <w:rPr>
                <w:rFonts w:ascii="Times New Roman" w:hAnsi="Times New Roman" w:eastAsia="仿宋_GB2312" w:cs="Times New Roman"/>
                <w:color w:val="000000"/>
                <w:sz w:val="24"/>
                <w:szCs w:val="24"/>
              </w:rPr>
              <w:t>脑。</w:t>
            </w:r>
          </w:p>
        </w:tc>
      </w:tr>
    </w:tbl>
    <w:p>
      <w:pPr>
        <w:spacing w:line="600" w:lineRule="exact"/>
        <w:ind w:firstLine="643" w:firstLineChars="200"/>
        <w:outlineLvl w:val="1"/>
        <w:rPr>
          <w:rFonts w:ascii="楷体_GB2312" w:hAnsi="楷体_GB2312" w:eastAsia="楷体_GB2312" w:cs="楷体_GB2312"/>
          <w:b/>
          <w:color w:val="000000" w:themeColor="text1"/>
          <w:sz w:val="32"/>
          <w:szCs w:val="32"/>
          <w14:textFill>
            <w14:solidFill>
              <w14:schemeClr w14:val="tx1"/>
            </w14:solidFill>
          </w14:textFill>
        </w:rPr>
      </w:pPr>
      <w:bookmarkStart w:id="12" w:name="_Toc66830144"/>
      <w:r>
        <w:rPr>
          <w:rFonts w:hint="eastAsia" w:ascii="楷体_GB2312" w:hAnsi="楷体_GB2312" w:eastAsia="楷体_GB2312" w:cs="楷体_GB2312"/>
          <w:b/>
          <w:color w:val="000000" w:themeColor="text1"/>
          <w:sz w:val="32"/>
          <w:szCs w:val="32"/>
          <w14:textFill>
            <w14:solidFill>
              <w14:schemeClr w14:val="tx1"/>
            </w14:solidFill>
          </w14:textFill>
        </w:rPr>
        <w:t>（三）坚持多元化，完善公共服务供给保障</w:t>
      </w:r>
      <w:bookmarkEnd w:id="12"/>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强化政府兜底保障。</w:t>
      </w:r>
      <w:r>
        <w:rPr>
          <w:rFonts w:ascii="Times New Roman" w:hAnsi="Times New Roman" w:eastAsia="仿宋_GB2312" w:cs="Times New Roman"/>
          <w:color w:val="000000"/>
          <w:kern w:val="0"/>
          <w:sz w:val="32"/>
          <w:szCs w:val="32"/>
        </w:rPr>
        <w:t>夯实各级政府主体责任，建立与经济发展和政府财力增长相适应的基本公共服务财政支出保障制度和增长机制。</w:t>
      </w:r>
      <w:r>
        <w:rPr>
          <w:rFonts w:ascii="Times New Roman" w:hAnsi="Times New Roman" w:eastAsia="仿宋_GB2312" w:cs="Times New Roman"/>
          <w:sz w:val="32"/>
          <w:szCs w:val="32"/>
        </w:rPr>
        <w:t>积极争取利用上级转移支付、政策性银行贷款、专项债等，多渠道拓宽基本公共服务资金来源。深化政府购买服务改革，分类制订基本公共服务购买服务目录并进行动态调整。建立完善基本公共服务供4给需求的双向反馈机制，建立完善反映基本公共服务供需的信息平台，创新精准服务的供给方式。加强基本公共服务领域对外交流，开展高水平国际项目合作。</w:t>
      </w:r>
    </w:p>
    <w:p>
      <w:pPr>
        <w:spacing w:line="600" w:lineRule="exact"/>
        <w:ind w:firstLine="643"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积极发挥国有经济作用。</w:t>
      </w:r>
      <w:r>
        <w:rPr>
          <w:rFonts w:ascii="Times New Roman" w:hAnsi="Times New Roman" w:eastAsia="仿宋_GB2312" w:cs="Times New Roman"/>
          <w:color w:val="000000"/>
          <w:kern w:val="0"/>
          <w:sz w:val="32"/>
          <w:szCs w:val="32"/>
        </w:rPr>
        <w:t>鼓励和引导国有经济以兼并、收购、参股、合作、租赁、承包等多种形式参与公共服务发展。加大对承担公益类业务的国有资本支持，逐步扩大财政资金支持国有经济参与公共服务发展的资金规模，重点支持国有经济从事非营利性或微利活动。落实国有经济参与公共服务发展的各项优惠政策。</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color w:val="000000" w:themeColor="text1"/>
          <w:sz w:val="32"/>
          <w:szCs w:val="32"/>
          <w14:textFill>
            <w14:solidFill>
              <w14:schemeClr w14:val="tx1"/>
            </w14:solidFill>
          </w14:textFill>
        </w:rPr>
        <w:t>鼓励社会力量参与。</w:t>
      </w:r>
      <w:r>
        <w:rPr>
          <w:rFonts w:ascii="Times New Roman" w:hAnsi="Times New Roman" w:eastAsia="仿宋_GB2312" w:cs="Times New Roman"/>
          <w:sz w:val="32"/>
          <w:szCs w:val="32"/>
        </w:rPr>
        <w:t>以政策制定、规划引领、环境营造、监管服务为重点，逐步扩大公共服务面向社会资本开放领域。充分发挥市场、乡贤和行业协会、商会等社会组织的作用，鼓励引导社会力量参与，推进民办教育、托育服务、社会办医、社会办养老发展，实施一批非基本公共服务领域重点工程，在部分领域先行探索建立“群众+市场+政府”的共筹共建模式，即群众主导、社会参与、政府补贴，增强民众参与公共服务提升的积极性与主动性。</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
                <w:sz w:val="32"/>
                <w:szCs w:val="32"/>
              </w:rPr>
            </w:pPr>
            <w:r>
              <w:rPr>
                <w:rFonts w:ascii="Times New Roman" w:hAnsi="Times New Roman" w:eastAsia="仿宋_GB2312" w:cs="Times New Roman"/>
                <w:b/>
                <w:bCs/>
                <w:color w:val="000000"/>
                <w:sz w:val="28"/>
                <w:szCs w:val="28"/>
              </w:rPr>
              <w:t>专栏3   公共服务社会化+重点任务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overflowPunct w:val="0"/>
              <w:spacing w:line="400" w:lineRule="exact"/>
              <w:ind w:firstLine="482" w:firstLineChars="200"/>
              <w:rPr>
                <w:rFonts w:ascii="Times New Roman" w:hAnsi="Times New Roman" w:eastAsia="仿宋_GB2312" w:cs="Times New Roman"/>
                <w:color w:val="000000"/>
                <w:sz w:val="24"/>
                <w:szCs w:val="24"/>
              </w:rPr>
            </w:pPr>
            <w:r>
              <w:rPr>
                <w:rFonts w:ascii="Times New Roman" w:hAnsi="Times New Roman" w:eastAsia="仿宋_GB2312" w:cs="Times New Roman"/>
                <w:b/>
                <w:sz w:val="24"/>
                <w:szCs w:val="24"/>
              </w:rPr>
              <w:t>民办教育：</w:t>
            </w:r>
            <w:r>
              <w:rPr>
                <w:rFonts w:ascii="Times New Roman" w:hAnsi="Times New Roman" w:eastAsia="仿宋_GB2312" w:cs="Times New Roman"/>
                <w:color w:val="000000"/>
                <w:sz w:val="24"/>
                <w:szCs w:val="24"/>
              </w:rPr>
              <w:t>落实《民办学校分类登记实施细则》，做好民办学校的分类管理与分类登记工作。规范民办学校招生行为；完善民办学校师生争议处理机制，维护师生的合法权益；建立健全民办学校教师队伍建设长效机制，完善教师流动机制，全面推行民办学校人事代理制度；全面建立民办学校第三方质量认证和评估制度；加强民办教育的政策与战略研究，积极推进民办教育领域综合改革。</w:t>
            </w:r>
          </w:p>
          <w:p>
            <w:pPr>
              <w:adjustRightInd w:val="0"/>
              <w:snapToGrid w:val="0"/>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color w:val="000000"/>
                <w:sz w:val="24"/>
                <w:szCs w:val="24"/>
              </w:rPr>
              <w:t>托育服务：</w:t>
            </w:r>
            <w:r>
              <w:rPr>
                <w:rFonts w:ascii="Times New Roman" w:hAnsi="Times New Roman" w:eastAsia="仿宋_GB2312" w:cs="Times New Roman"/>
                <w:sz w:val="24"/>
                <w:szCs w:val="24"/>
              </w:rPr>
              <w:t>简化社会力量办托登记备案程序，办托实施一窗受理，一站式服务；依托城企合作，落实提供场所、人才培养、金融支持和落实税收优惠等支持社会力量发展普惠性婴幼儿照护服务的政策措施；开展社会办托服务机构示范创建工作；推荐社会力量参与国家普惠托育服务专项行动计划。</w:t>
            </w:r>
          </w:p>
          <w:p>
            <w:pPr>
              <w:adjustRightInd w:val="0"/>
              <w:snapToGrid w:val="0"/>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社会办医：</w:t>
            </w:r>
            <w:r>
              <w:rPr>
                <w:rFonts w:ascii="Times New Roman" w:hAnsi="Times New Roman" w:eastAsia="仿宋_GB2312" w:cs="Times New Roman"/>
                <w:sz w:val="24"/>
                <w:szCs w:val="24"/>
              </w:rPr>
              <w:t>不对社会办医区域总量和空间布局作规划限制；优化社会办医疗机构审批环节；开展社会办医参与县域医共体建设试点；实施医师多点执业制度；加大政府向符合条件的社会办基层医疗机构购买服务的力度，将提供基本医疗卫生服务的社会办非营利性医疗机构纳入政府补助范围；加大对社会办医疗机构的信贷支持，给予社会办医疗机构各项税收政策；将社会办医疗机构纳入医保定点；</w:t>
            </w:r>
          </w:p>
          <w:p>
            <w:pPr>
              <w:adjustRightInd w:val="0"/>
              <w:snapToGrid w:val="0"/>
              <w:spacing w:line="400" w:lineRule="exact"/>
              <w:ind w:firstLine="482" w:firstLineChars="200"/>
              <w:rPr>
                <w:rFonts w:ascii="Times New Roman" w:hAnsi="Times New Roman" w:eastAsia="仿宋_GB2312" w:cs="Times New Roman"/>
                <w:b/>
                <w:sz w:val="28"/>
                <w:szCs w:val="28"/>
              </w:rPr>
            </w:pPr>
            <w:r>
              <w:rPr>
                <w:rFonts w:ascii="Times New Roman" w:hAnsi="Times New Roman" w:eastAsia="仿宋_GB2312" w:cs="Times New Roman"/>
                <w:b/>
                <w:sz w:val="24"/>
                <w:szCs w:val="24"/>
              </w:rPr>
              <w:t>社会办养老：</w:t>
            </w:r>
            <w:r>
              <w:rPr>
                <w:rFonts w:hint="eastAsia" w:ascii="Times New Roman" w:hAnsi="Times New Roman" w:eastAsia="仿宋_GB2312" w:cs="Times New Roman"/>
                <w:sz w:val="24"/>
                <w:szCs w:val="24"/>
              </w:rPr>
              <w:t>推动公办养老机构改革，实行国企化改制和共建民营。鼓励市县社会福利中心和敬老院改制为国企。推进公建民营，合同期限最长不超过10年，改革公办养老机构入住方式，建立入住轮候制度。保留市县一定比例公办养老机构。对公办养老机构实行建设成本标准指导和收费价格指导，防止过度豪华。对民办非企业单位登记养老机构加强财务审计和年度审查，确保公益性。</w:t>
            </w:r>
          </w:p>
        </w:tc>
      </w:tr>
    </w:tbl>
    <w:p>
      <w:pPr>
        <w:spacing w:line="60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鼓励志愿服务和慈善事业。</w:t>
      </w:r>
      <w:r>
        <w:rPr>
          <w:rFonts w:ascii="Times New Roman" w:hAnsi="Times New Roman" w:eastAsia="仿宋_GB2312" w:cs="Times New Roman"/>
          <w:color w:val="000000"/>
          <w:kern w:val="0"/>
          <w:sz w:val="32"/>
          <w:szCs w:val="32"/>
        </w:rPr>
        <w:t>建立社会组织、志愿者参与社会公共服务的长效保障机制，完善志愿服务激励保障措施。</w:t>
      </w:r>
      <w:r>
        <w:rPr>
          <w:rFonts w:ascii="Times New Roman" w:hAnsi="Times New Roman" w:eastAsia="仿宋_GB2312" w:cs="Times New Roman"/>
          <w:sz w:val="32"/>
          <w:szCs w:val="32"/>
        </w:rPr>
        <w:t>大力发展公共服务非营利性组织，加强提供基本公共服务的社会组织的规范管理及能力建设。加快培育发展社会工作者队伍，推动志愿服务与政府公共服务优势互补、有机融合。完善慈善力量参与社会救助机制。</w:t>
      </w:r>
    </w:p>
    <w:p>
      <w:pPr>
        <w:spacing w:line="600" w:lineRule="exact"/>
        <w:ind w:firstLine="640" w:firstLineChars="200"/>
        <w:outlineLvl w:val="0"/>
        <w:rPr>
          <w:rFonts w:ascii="黑体" w:hAnsi="黑体" w:eastAsia="黑体" w:cs="黑体"/>
          <w:bCs/>
          <w:sz w:val="32"/>
          <w:szCs w:val="32"/>
        </w:rPr>
      </w:pPr>
      <w:bookmarkStart w:id="13" w:name="_Toc66830145"/>
      <w:r>
        <w:rPr>
          <w:rFonts w:hint="eastAsia" w:ascii="黑体" w:hAnsi="黑体" w:eastAsia="黑体" w:cs="黑体"/>
          <w:bCs/>
          <w:sz w:val="32"/>
          <w:szCs w:val="32"/>
        </w:rPr>
        <w:t>四、重点领域</w:t>
      </w:r>
      <w:bookmarkEnd w:id="13"/>
    </w:p>
    <w:p>
      <w:pPr>
        <w:spacing w:line="600" w:lineRule="exact"/>
        <w:ind w:firstLine="643" w:firstLineChars="200"/>
        <w:outlineLvl w:val="1"/>
        <w:rPr>
          <w:rFonts w:ascii="楷体_GB2312" w:hAnsi="楷体_GB2312" w:eastAsia="楷体_GB2312" w:cs="楷体_GB2312"/>
          <w:b/>
          <w:sz w:val="32"/>
          <w:szCs w:val="32"/>
        </w:rPr>
      </w:pPr>
      <w:bookmarkStart w:id="14" w:name="_Toc66830146"/>
      <w:r>
        <w:rPr>
          <w:rFonts w:hint="eastAsia" w:ascii="楷体_GB2312" w:hAnsi="楷体_GB2312" w:eastAsia="楷体_GB2312" w:cs="楷体_GB2312"/>
          <w:b/>
          <w:sz w:val="32"/>
          <w:szCs w:val="32"/>
        </w:rPr>
        <w:t>（一）聚焦幼有所育，完善托育照护服务</w:t>
      </w:r>
      <w:bookmarkEnd w:id="14"/>
    </w:p>
    <w:p>
      <w:pPr>
        <w:spacing w:line="600" w:lineRule="exact"/>
        <w:ind w:firstLine="640" w:firstLineChars="200"/>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遵循婴幼儿成长特点和规律，坚持政府引导、家庭为主、多方参与、安全健康、普惠可及，建立健全多元优质高效的婴幼儿照护服务体系，创新发展多样化、多层次、数字化服务模式，促进婴幼儿照护服务健康有序发展。</w:t>
      </w:r>
    </w:p>
    <w:p>
      <w:pPr>
        <w:spacing w:line="600" w:lineRule="exact"/>
        <w:ind w:firstLine="643" w:firstLineChars="200"/>
        <w:rPr>
          <w:rFonts w:ascii="Times New Roman" w:hAnsi="Times New Roman" w:eastAsia="仿宋_GB2312" w:cs="Times New Roman"/>
          <w:color w:val="000000"/>
          <w:sz w:val="32"/>
          <w:szCs w:val="32"/>
        </w:rPr>
      </w:pPr>
      <w:r>
        <w:rPr>
          <w:rFonts w:ascii="Times New Roman" w:hAnsi="Times New Roman" w:eastAsia="仿宋_GB2312" w:cs="Times New Roman"/>
          <w:b/>
          <w:color w:val="000000" w:themeColor="text1"/>
          <w:sz w:val="32"/>
          <w:szCs w:val="32"/>
          <w14:textFill>
            <w14:solidFill>
              <w14:schemeClr w14:val="tx1"/>
            </w14:solidFill>
          </w14:textFill>
        </w:rPr>
        <w:t>提高优孕优生优育服务水平。</w:t>
      </w:r>
      <w:r>
        <w:rPr>
          <w:rFonts w:ascii="Times New Roman" w:hAnsi="Times New Roman" w:eastAsia="仿宋_GB2312" w:cs="Times New Roman"/>
          <w:sz w:val="32"/>
          <w:szCs w:val="32"/>
        </w:rPr>
        <w:t>完善以基层医疗卫生机构为基础，妇幼健康服务机构及妇女儿童专科医院为主体，大中型综合医院为技术支撑，民营医院为补充的妇幼健康服务体系。整合孕前保健、孕期保健、住院分娩、儿童保健、儿童预防接种和计划生育服务内容，为妇女儿童提供系统、规范的优孕优生优育全程服务，打造“一条龙”服务链。深入实施免费婚前医学检查和免费孕前优生检测政策，落实高危孕产妇管理协作机制，减少高危妊娠风险，降低出生缺陷发生率。完善生育保险制度，深化生育保险和职工基本医疗保险合并实施，做好生育保险参保扩面工作。</w:t>
      </w:r>
      <w:r>
        <w:rPr>
          <w:rFonts w:ascii="Times New Roman" w:hAnsi="Times New Roman" w:eastAsia="仿宋_GB2312" w:cs="Times New Roman"/>
          <w:color w:val="000000"/>
          <w:sz w:val="32"/>
          <w:szCs w:val="32"/>
        </w:rPr>
        <w:t>完善育儿休假制度，降低生育、养育、教育成本。</w:t>
      </w:r>
      <w:r>
        <w:rPr>
          <w:rFonts w:ascii="Times New Roman" w:hAnsi="Times New Roman" w:eastAsia="仿宋_GB2312" w:cs="Times New Roman"/>
          <w:sz w:val="32"/>
          <w:szCs w:val="32"/>
        </w:rPr>
        <w:t>推进新生儿访视和婴幼儿定期健康检查，加强婴幼儿发育监测和筛查评估，做实家庭医生签约服务。到2025年，3岁以下婴幼儿标准化发育监测筛查率达到**%以上。规范、保障免疫规划疫苗供应，提升预防接种管理质量，到2025年，国家免疫规划疫苗接种率以乡（镇）为单位达到</w:t>
      </w:r>
      <w:r>
        <w:rPr>
          <w:rFonts w:hint="eastAsia" w:ascii="Times New Roman" w:hAnsi="Times New Roman" w:eastAsia="仿宋_GB2312" w:cs="Times New Roman"/>
          <w:sz w:val="32"/>
          <w:szCs w:val="32"/>
        </w:rPr>
        <w:t>90</w:t>
      </w:r>
      <w:r>
        <w:rPr>
          <w:rFonts w:ascii="Times New Roman" w:hAnsi="Times New Roman" w:eastAsia="仿宋_GB2312" w:cs="Times New Roman"/>
          <w:sz w:val="32"/>
          <w:szCs w:val="32"/>
        </w:rPr>
        <w:t>%以上。</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完善儿童福利关爱体系。</w:t>
      </w:r>
      <w:r>
        <w:rPr>
          <w:rFonts w:ascii="Times New Roman" w:hAnsi="Times New Roman" w:eastAsia="仿宋_GB2312" w:cs="Times New Roman"/>
          <w:sz w:val="32"/>
          <w:szCs w:val="32"/>
        </w:rPr>
        <w:t>整合县（市、区）儿童福利服务资源，持续实施“添翼计划”，提高孤残儿童和困境儿童服务保障。加强基层儿童福利服务设施建设，整合县（市、区）儿童福利服务资源，加快推进儿童福利机构转型提升，确保每个县（市、区）建有1-2家区域性儿童福利机构，推进孤弃儿童和符合条件的困境儿童集中供养。实体运行未成年救助保护中心，开展农村留守儿童、困境儿童服务和未成年人保护工作。加强“儿童之家”建设，解决儿童福利工作“最后一公里”的问题。完善社会组织、社工和志愿者参与农村留守儿童和困 境儿童关爱保护制度。</w:t>
      </w:r>
    </w:p>
    <w:p>
      <w:pPr>
        <w:spacing w:line="600" w:lineRule="exact"/>
        <w:ind w:firstLine="643" w:firstLineChars="200"/>
        <w:rPr>
          <w:rFonts w:ascii="Times New Roman" w:hAnsi="Times New Roman" w:eastAsia="宋体" w:cs="Times New Roman"/>
          <w:kern w:val="0"/>
          <w:sz w:val="24"/>
          <w:szCs w:val="24"/>
        </w:rPr>
      </w:pPr>
      <w:r>
        <w:rPr>
          <w:rFonts w:ascii="Times New Roman" w:hAnsi="Times New Roman" w:eastAsia="仿宋_GB2312" w:cs="Times New Roman"/>
          <w:b/>
          <w:color w:val="000000" w:themeColor="text1"/>
          <w:sz w:val="32"/>
          <w:szCs w:val="32"/>
          <w14:textFill>
            <w14:solidFill>
              <w14:schemeClr w14:val="tx1"/>
            </w14:solidFill>
          </w14:textFill>
        </w:rPr>
        <w:t>完善托育服务体系。</w:t>
      </w:r>
      <w:r>
        <w:rPr>
          <w:rFonts w:ascii="Times New Roman" w:hAnsi="Times New Roman" w:eastAsia="仿宋_GB2312" w:cs="Times New Roman"/>
          <w:color w:val="000000" w:themeColor="text1"/>
          <w:sz w:val="32"/>
          <w:szCs w:val="32"/>
          <w14:textFill>
            <w14:solidFill>
              <w14:schemeClr w14:val="tx1"/>
            </w14:solidFill>
          </w14:textFill>
        </w:rPr>
        <w:t>加快建立多元化、多样化、覆盖城乡的3岁以下婴幼儿照护服务体系，</w:t>
      </w:r>
      <w:r>
        <w:rPr>
          <w:rFonts w:ascii="Times New Roman" w:hAnsi="Times New Roman" w:eastAsia="仿宋_GB2312" w:cs="Times New Roman"/>
          <w:color w:val="000000"/>
          <w:kern w:val="0"/>
          <w:sz w:val="32"/>
          <w:szCs w:val="32"/>
        </w:rPr>
        <w:t>不断创新家庭照护、社区统筹、幼儿园托班、单位自建、社会兴办等婴幼儿照护服务模式。推动女职工产假、父母育儿假调整，支持指导以家庭为主的照护服务。支持和引导社会力量在社区兴办普惠性婴幼儿照护服务机构，培育一批普惠性婴幼儿照护示范单位。加强幼儿园托班服务供给，鼓励支持有条件的幼儿园通过新建、改建、扩建开设托班，提供婴幼儿照护服务。</w:t>
      </w:r>
      <w:r>
        <w:rPr>
          <w:rFonts w:ascii="Times New Roman" w:hAnsi="Times New Roman" w:eastAsia="仿宋_GB2312" w:cs="Times New Roman"/>
          <w:color w:val="000000"/>
          <w:sz w:val="32"/>
          <w:szCs w:val="32"/>
        </w:rPr>
        <w:t>支持本地院校与妇幼保健机构共建婴幼儿照护服务实训基地。</w:t>
      </w:r>
      <w:r>
        <w:rPr>
          <w:rFonts w:ascii="Times New Roman" w:hAnsi="Times New Roman" w:eastAsia="仿宋_GB2312" w:cs="Times New Roman"/>
          <w:color w:val="000000"/>
          <w:kern w:val="0"/>
          <w:sz w:val="32"/>
          <w:szCs w:val="32"/>
        </w:rPr>
        <w:t>鼓励单位为职工提供婴幼儿照护服务。到2025年，婴幼儿照护服务机构从业人员持证率达到</w:t>
      </w:r>
      <w:r>
        <w:rPr>
          <w:rFonts w:ascii="Times New Roman" w:hAnsi="Times New Roman" w:eastAsia="宋体" w:cs="Times New Roman"/>
          <w:color w:val="000000"/>
          <w:kern w:val="0"/>
          <w:sz w:val="32"/>
          <w:szCs w:val="32"/>
        </w:rPr>
        <w:t>80%</w:t>
      </w:r>
      <w:r>
        <w:rPr>
          <w:rFonts w:ascii="Times New Roman" w:hAnsi="Times New Roman" w:eastAsia="仿宋_GB2312" w:cs="Times New Roman"/>
          <w:color w:val="000000"/>
          <w:kern w:val="0"/>
          <w:sz w:val="32"/>
          <w:szCs w:val="32"/>
        </w:rPr>
        <w:t>。</w:t>
      </w:r>
    </w:p>
    <w:p>
      <w:pPr>
        <w:spacing w:line="600" w:lineRule="exact"/>
        <w:ind w:firstLine="643" w:firstLineChars="200"/>
        <w:rPr>
          <w:rFonts w:ascii="Times New Roman" w:hAnsi="Times New Roman" w:eastAsia="宋体" w:cs="Times New Roman"/>
          <w:kern w:val="0"/>
          <w:sz w:val="24"/>
          <w:szCs w:val="24"/>
        </w:rPr>
      </w:pPr>
      <w:r>
        <w:rPr>
          <w:rFonts w:ascii="Times New Roman" w:hAnsi="Times New Roman" w:eastAsia="仿宋_GB2312" w:cs="Times New Roman"/>
          <w:b/>
          <w:bCs/>
          <w:color w:val="000000"/>
          <w:kern w:val="0"/>
          <w:sz w:val="32"/>
          <w:szCs w:val="32"/>
        </w:rPr>
        <w:t>加强托育服务标准化建设。</w:t>
      </w:r>
      <w:r>
        <w:rPr>
          <w:rFonts w:ascii="Times New Roman" w:hAnsi="Times New Roman" w:eastAsia="仿宋_GB2312" w:cs="Times New Roman"/>
          <w:sz w:val="32"/>
          <w:szCs w:val="32"/>
        </w:rPr>
        <w:t>完善3岁以下婴幼儿托育机构照护服务标准，</w:t>
      </w:r>
      <w:r>
        <w:rPr>
          <w:rFonts w:ascii="Times New Roman" w:hAnsi="Times New Roman" w:eastAsia="仿宋_GB2312" w:cs="Times New Roman"/>
          <w:color w:val="000000"/>
          <w:kern w:val="0"/>
          <w:sz w:val="32"/>
          <w:szCs w:val="32"/>
        </w:rPr>
        <w:t>健全婴幼儿照护服务机构管理规范和配套支持政策。制定存量房屋和设施改造提升为托育场所设施有关建设标准、指南，推进公共场所母婴设施配置全覆盖。</w:t>
      </w:r>
      <w:r>
        <w:rPr>
          <w:rFonts w:ascii="Times New Roman" w:hAnsi="Times New Roman" w:eastAsia="仿宋_GB2312" w:cs="Times New Roman"/>
          <w:sz w:val="32"/>
          <w:szCs w:val="32"/>
        </w:rPr>
        <w:t>依法实行婴幼儿照护服务工作人员职业资格准入和持证上岗制度。</w:t>
      </w:r>
      <w:r>
        <w:rPr>
          <w:rFonts w:ascii="Times New Roman" w:hAnsi="Times New Roman" w:eastAsia="仿宋_GB2312" w:cs="Times New Roman"/>
          <w:color w:val="000000"/>
          <w:kern w:val="0"/>
          <w:sz w:val="32"/>
          <w:szCs w:val="32"/>
        </w:rPr>
        <w:t>加强从业人员学历教育和在职培训，贯通职前职后培养。建设托育备案管理平台，对托育机构申办、备案等开展信息化管理，推动育婴、保育、保健、托育管理等专业人才数据采集和共享</w:t>
      </w:r>
      <w:r>
        <w:rPr>
          <w:rFonts w:ascii="Times New Roman" w:hAnsi="Times New Roman" w:eastAsia="宋体" w:cs="Times New Roman"/>
          <w:kern w:val="0"/>
          <w:sz w:val="24"/>
          <w:szCs w:val="24"/>
        </w:rPr>
        <w:t>。</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cs="Times New Roman"/>
                <w:b/>
                <w:sz w:val="28"/>
                <w:szCs w:val="28"/>
              </w:rPr>
            </w:pPr>
            <w:r>
              <w:rPr>
                <w:rFonts w:ascii="Times New Roman" w:hAnsi="Times New Roman" w:eastAsia="仿宋_GB2312" w:cs="Times New Roman"/>
                <w:b/>
                <w:sz w:val="28"/>
                <w:szCs w:val="28"/>
              </w:rPr>
              <w:t xml:space="preserve">专栏4  </w:t>
            </w:r>
            <w:r>
              <w:rPr>
                <w:rFonts w:ascii="Times New Roman" w:hAnsi="Times New Roman" w:eastAsia="仿宋_GB2312" w:cs="Times New Roman"/>
                <w:b/>
                <w:color w:val="000000"/>
                <w:kern w:val="0"/>
                <w:sz w:val="28"/>
                <w:szCs w:val="28"/>
              </w:rPr>
              <w:t>托育照护服务提升工程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widowControl/>
              <w:spacing w:line="400" w:lineRule="exact"/>
              <w:ind w:firstLine="482" w:firstLineChars="200"/>
              <w:jc w:val="left"/>
              <w:rPr>
                <w:rFonts w:ascii="Times New Roman" w:hAnsi="Times New Roman" w:eastAsia="宋体" w:cs="Times New Roman"/>
                <w:kern w:val="0"/>
                <w:sz w:val="24"/>
                <w:szCs w:val="24"/>
              </w:rPr>
            </w:pPr>
            <w:r>
              <w:rPr>
                <w:rFonts w:ascii="Times New Roman" w:hAnsi="Times New Roman" w:eastAsia="仿宋_GB2312" w:cs="Times New Roman"/>
                <w:b/>
                <w:kern w:val="0"/>
                <w:sz w:val="24"/>
                <w:szCs w:val="24"/>
              </w:rPr>
              <w:t>婴幼儿照护服务提升工程。</w:t>
            </w:r>
            <w:r>
              <w:rPr>
                <w:rFonts w:ascii="Times New Roman" w:hAnsi="Times New Roman" w:eastAsia="仿宋_GB2312" w:cs="Times New Roman"/>
                <w:kern w:val="0"/>
                <w:sz w:val="24"/>
                <w:szCs w:val="24"/>
              </w:rPr>
              <w:t>建立以家庭为基础、社区为依托、机构为补充的婴幼儿照护服务体系。到2025年，全市婴幼儿照护服务的政策体系、标准规范体系和覆盖城乡的服务体系基本健全，</w:t>
            </w:r>
            <w:r>
              <w:rPr>
                <w:rFonts w:ascii="Times New Roman" w:hAnsi="Times New Roman" w:eastAsia="仿宋_GB2312" w:cs="Times New Roman"/>
                <w:color w:val="000000"/>
                <w:kern w:val="0"/>
                <w:sz w:val="24"/>
                <w:szCs w:val="24"/>
              </w:rPr>
              <w:t>镇（街道）</w:t>
            </w:r>
            <w:r>
              <w:rPr>
                <w:rFonts w:ascii="Times New Roman" w:hAnsi="Times New Roman" w:eastAsia="宋体" w:cs="Times New Roman"/>
                <w:color w:val="000000"/>
                <w:kern w:val="0"/>
                <w:sz w:val="24"/>
                <w:szCs w:val="24"/>
              </w:rPr>
              <w:t xml:space="preserve">3 </w:t>
            </w:r>
            <w:r>
              <w:rPr>
                <w:rFonts w:ascii="Times New Roman" w:hAnsi="Times New Roman" w:eastAsia="仿宋_GB2312" w:cs="Times New Roman"/>
                <w:color w:val="000000"/>
                <w:kern w:val="0"/>
                <w:sz w:val="24"/>
                <w:szCs w:val="24"/>
              </w:rPr>
              <w:t xml:space="preserve">岁以下婴幼儿照护服务机构覆盖率达 </w:t>
            </w:r>
            <w:r>
              <w:rPr>
                <w:rFonts w:ascii="Times New Roman" w:hAnsi="Times New Roman" w:eastAsia="宋体" w:cs="Times New Roman"/>
                <w:color w:val="000000"/>
                <w:kern w:val="0"/>
                <w:sz w:val="24"/>
                <w:szCs w:val="24"/>
              </w:rPr>
              <w:t>50%</w:t>
            </w:r>
            <w:r>
              <w:rPr>
                <w:rFonts w:ascii="Times New Roman" w:hAnsi="Times New Roman" w:eastAsia="仿宋_GB2312" w:cs="Times New Roman"/>
                <w:color w:val="000000"/>
                <w:kern w:val="0"/>
                <w:sz w:val="24"/>
                <w:szCs w:val="24"/>
              </w:rPr>
              <w:t>以上。</w:t>
            </w:r>
            <w:r>
              <w:rPr>
                <w:rFonts w:ascii="Times New Roman" w:hAnsi="Times New Roman" w:eastAsia="仿宋_GB2312" w:cs="Times New Roman"/>
                <w:kern w:val="0"/>
                <w:sz w:val="24"/>
                <w:szCs w:val="24"/>
              </w:rPr>
              <w:t>婴幼儿健康管理率达到95%以上，婴幼儿家长科学育儿知识普及率达到 90%以上，</w:t>
            </w:r>
            <w:r>
              <w:rPr>
                <w:rFonts w:ascii="Times New Roman" w:hAnsi="Times New Roman" w:eastAsia="仿宋_GB2312" w:cs="Times New Roman"/>
                <w:color w:val="000000"/>
                <w:kern w:val="0"/>
                <w:sz w:val="24"/>
                <w:szCs w:val="24"/>
              </w:rPr>
              <w:t>每千人拥有婴幼儿照护设施托位4.5张。</w:t>
            </w:r>
          </w:p>
          <w:p>
            <w:pPr>
              <w:widowControl/>
              <w:spacing w:line="400" w:lineRule="exact"/>
              <w:ind w:firstLine="482" w:firstLineChars="200"/>
              <w:jc w:val="left"/>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婴幼儿早期发展指导工程。</w:t>
            </w:r>
            <w:r>
              <w:rPr>
                <w:rFonts w:ascii="Times New Roman" w:hAnsi="Times New Roman" w:eastAsia="仿宋_GB2312" w:cs="Times New Roman"/>
                <w:color w:val="000000"/>
                <w:kern w:val="0"/>
                <w:sz w:val="24"/>
                <w:szCs w:val="24"/>
              </w:rPr>
              <w:t>宣传贯彻母婴设施有关标准，开展省级母婴室示范县（市、区）创建活动，二级以上医院全面配置标准母婴室，推进流动母婴室建设。加强妇幼保健机构、各级危重孕产妇、新生儿救治中心标准化建设，推动建设台州市妇女儿童医院二期项目。</w:t>
            </w:r>
          </w:p>
          <w:p>
            <w:pPr>
              <w:pStyle w:val="11"/>
              <w:shd w:val="clear" w:color="auto" w:fill="FFFFFF" w:themeFill="background1"/>
              <w:snapToGrid w:val="0"/>
              <w:spacing w:before="0" w:beforeAutospacing="0" w:after="0" w:afterAutospacing="0" w:line="400" w:lineRule="exact"/>
              <w:ind w:firstLine="482" w:firstLineChars="200"/>
              <w:jc w:val="both"/>
              <w:rPr>
                <w:rFonts w:ascii="Times New Roman" w:hAnsi="Times New Roman" w:eastAsia="仿宋_GB2312" w:cs="Times New Roman"/>
                <w:sz w:val="32"/>
                <w:szCs w:val="32"/>
              </w:rPr>
            </w:pPr>
            <w:r>
              <w:rPr>
                <w:rFonts w:ascii="Times New Roman" w:hAnsi="Times New Roman" w:eastAsia="仿宋_GB2312" w:cs="Times New Roman"/>
                <w:b/>
              </w:rPr>
              <w:t>“儿童之家”建设工程。</w:t>
            </w:r>
            <w:r>
              <w:rPr>
                <w:rFonts w:ascii="Times New Roman" w:hAnsi="Times New Roman" w:eastAsia="仿宋_GB2312" w:cs="Times New Roman"/>
                <w:color w:val="000000"/>
              </w:rPr>
              <w:t>依托村（社区）服务中心、新时代文明实践站、社区文化家园、农村文化礼堂等设施，推动与乡村学校少年宫、“春泥计划”实施点、农家书屋等阵地资源衔接，以“1+N”的方式（即1个示范性儿童之家联结N个基础型儿童之家），在全市创建500家示范儿童之家，基础型儿童之家应建尽建，儿童之家服务全覆盖。</w:t>
            </w:r>
          </w:p>
        </w:tc>
      </w:tr>
    </w:tbl>
    <w:p>
      <w:pPr>
        <w:spacing w:line="600" w:lineRule="exact"/>
        <w:ind w:firstLine="643" w:firstLineChars="200"/>
        <w:outlineLvl w:val="1"/>
        <w:rPr>
          <w:rFonts w:ascii="楷体_GB2312" w:hAnsi="楷体_GB2312" w:eastAsia="楷体_GB2312" w:cs="楷体_GB2312"/>
          <w:b/>
          <w:sz w:val="32"/>
          <w:szCs w:val="32"/>
        </w:rPr>
      </w:pPr>
      <w:bookmarkStart w:id="15" w:name="_Toc66830147"/>
      <w:r>
        <w:rPr>
          <w:rFonts w:ascii="楷体_GB2312" w:hAnsi="楷体_GB2312" w:eastAsia="楷体_GB2312" w:cs="楷体_GB2312"/>
          <w:b/>
          <w:sz w:val="32"/>
          <w:szCs w:val="32"/>
        </w:rPr>
        <w:t>（二）聚焦学有所教，完善现代教育服务</w:t>
      </w:r>
      <w:bookmarkEnd w:id="15"/>
    </w:p>
    <w:p>
      <w:pPr>
        <w:widowControl/>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坚持育人为本、立德树人，以更加公平和更高质量为主线，多渠道增加优质教育资源供给，促进各类教育布局优化、协调发展，构建体系健全、衔接融通、适应终身学习需要的具体台州特色品质的现代教育体系，让每一位适龄人口得到更公平更优质的教育。</w:t>
      </w:r>
    </w:p>
    <w:p>
      <w:pPr>
        <w:ind w:firstLine="643" w:firstLineChars="200"/>
        <w:rPr>
          <w:rFonts w:ascii="Times New Roman" w:hAnsi="Times New Roman" w:eastAsia="仿宋_GB2312" w:cs="Times New Roman"/>
          <w:b/>
          <w:bCs/>
          <w:color w:val="000000"/>
          <w:sz w:val="32"/>
          <w:szCs w:val="32"/>
        </w:rPr>
      </w:pPr>
      <w:r>
        <w:rPr>
          <w:rFonts w:ascii="Times New Roman" w:hAnsi="Times New Roman" w:eastAsia="仿宋_GB2312" w:cs="Times New Roman"/>
          <w:b/>
          <w:sz w:val="32"/>
          <w:szCs w:val="32"/>
        </w:rPr>
        <w:t>促进学前教育优质普惠发展。</w:t>
      </w:r>
      <w:r>
        <w:rPr>
          <w:rFonts w:ascii="Times New Roman" w:hAnsi="Times New Roman" w:eastAsia="仿宋_GB2312" w:cs="Times New Roman"/>
          <w:sz w:val="32"/>
          <w:szCs w:val="32"/>
        </w:rPr>
        <w:t>谋划实施《台州市发展学前教育第四轮三年行动计划》，建立健全覆盖城乡、优质普惠的学前教育公共服务体系。推进国家学前教育普及普惠县创建，力争全域创成学前教育普及普惠市。实施学前教育“扩容提质”行动，加强城镇小区配套幼儿园建设，全面完成农村薄弱幼儿园改造提升工程。通过政府购买服务、生均经费补助、政策优惠倾斜等方式，大力扶持普惠性民办幼儿园发展。加大学前教育经费保障力度，到2025年，全市财政性学前教育经费占同级财政性教育经费的比例达到6.5%以上，</w:t>
      </w:r>
      <w:r>
        <w:rPr>
          <w:rFonts w:ascii="Times New Roman" w:hAnsi="Times New Roman" w:eastAsia="仿宋_GB2312" w:cs="Times New Roman"/>
          <w:color w:val="000000"/>
          <w:sz w:val="32"/>
          <w:szCs w:val="32"/>
        </w:rPr>
        <w:t>学前教育普及普惠县创建率达100%。</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促进义务教育优质均衡发展。</w:t>
      </w:r>
      <w:r>
        <w:rPr>
          <w:rFonts w:ascii="Times New Roman" w:hAnsi="Times New Roman" w:eastAsia="仿宋_GB2312" w:cs="Times New Roman"/>
          <w:sz w:val="32"/>
          <w:szCs w:val="32"/>
        </w:rPr>
        <w:t>开展国家义务教育优质均衡发展县创建。强化义务教育标准化学校建设，优化乡村小规模学校和寄宿制学校布局和发展，开展乡村名校建设；推动所有农村学校与城区优质学校组建城乡教育共同体，全面推进“互联网+义务教育”，加快实施“城乡携手、同步课堂”工程，完善中小学校长、教师交流制度。全面实行“公民同招”，推进城区学区连片学校集团化办学，促进城区校际平衡。保障符合条件的随迁子女义务教育权益，逐步提高以随迁子女招生为主的民办学校质量保障水平。</w:t>
      </w:r>
      <w:r>
        <w:rPr>
          <w:rFonts w:ascii="Times New Roman" w:hAnsi="Times New Roman" w:eastAsia="仿宋_GB2312" w:cs="Times New Roman"/>
          <w:color w:val="000000"/>
          <w:sz w:val="32"/>
          <w:szCs w:val="32"/>
        </w:rPr>
        <w:t>到2025年，教育经费投入达到省均水平，二分之一以上县（市、区）创成全国义务教育优质均衡发展县（市、区）。</w:t>
      </w:r>
    </w:p>
    <w:p>
      <w:pPr>
        <w:widowControl/>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促进高中教育多样特色发展。</w:t>
      </w:r>
      <w:r>
        <w:rPr>
          <w:rFonts w:ascii="Times New Roman" w:hAnsi="Times New Roman" w:eastAsia="仿宋_GB2312" w:cs="Times New Roman"/>
          <w:sz w:val="32"/>
          <w:szCs w:val="32"/>
        </w:rPr>
        <w:t>全面优化高中阶段校网调整，积极改造薄弱高中，完善优质学校与薄弱学校帮扶交流制度，全力发展学校共同体，扩大优化高中教育资源。全面实施普通高中新课程新教材，构建规范有序、科学高效的选课走班运行机制，建立健全行政班与教学班并存的教育教学管理制度。深化普通高中课程改革。推进中职教育高质量发展，建设台州湾新区现代职业教育创业园区，</w:t>
      </w:r>
      <w:r>
        <w:rPr>
          <w:rFonts w:ascii="Times New Roman" w:hAnsi="Times New Roman" w:eastAsia="仿宋_GB2312" w:cs="Times New Roman"/>
          <w:color w:val="000000"/>
          <w:sz w:val="32"/>
          <w:szCs w:val="32"/>
        </w:rPr>
        <w:t>加强“双师型”教师队伍建设。支持台州技师学院建成“国家重点、省内一流”现代化技师学院，</w:t>
      </w:r>
      <w:r>
        <w:rPr>
          <w:rFonts w:ascii="Times New Roman" w:hAnsi="Times New Roman" w:eastAsia="仿宋_GB2312" w:cs="Times New Roman"/>
          <w:sz w:val="32"/>
          <w:szCs w:val="32"/>
        </w:rPr>
        <w:t>培育10所国家级“双优”中职学校，支持建设15所省“双高”中职学校，加强中职教育资源统筹力度。健全普通高中和中等职业教育家庭经济困难学生资助体系。</w:t>
      </w:r>
    </w:p>
    <w:p>
      <w:pPr>
        <w:widowControl/>
        <w:ind w:firstLine="643" w:firstLineChars="200"/>
        <w:jc w:val="left"/>
        <w:rPr>
          <w:rFonts w:ascii="Times New Roman" w:hAnsi="Times New Roman" w:eastAsia="仿宋_GB2312" w:cs="Times New Roman"/>
          <w:sz w:val="32"/>
          <w:szCs w:val="32"/>
        </w:rPr>
      </w:pPr>
      <w:r>
        <w:rPr>
          <w:rFonts w:ascii="Times New Roman" w:hAnsi="Times New Roman" w:eastAsia="仿宋_GB2312" w:cs="Times New Roman"/>
          <w:b/>
          <w:sz w:val="32"/>
          <w:szCs w:val="32"/>
        </w:rPr>
        <w:t>促进高等教育高水平发展。</w:t>
      </w:r>
      <w:r>
        <w:rPr>
          <w:rFonts w:ascii="Times New Roman" w:hAnsi="Times New Roman" w:eastAsia="仿宋_GB2312" w:cs="Times New Roman"/>
          <w:color w:val="000000" w:themeColor="text1"/>
          <w:sz w:val="32"/>
          <w:szCs w:val="32"/>
          <w14:textFill>
            <w14:solidFill>
              <w14:schemeClr w14:val="tx1"/>
            </w14:solidFill>
          </w14:textFill>
        </w:rPr>
        <w:t>加大高校重要领域和重大项目投入。重点支持台州学院“申硕升格创一流”，力争建成台州大学。深化国家温台职业教育创新高地城市试点建设，</w:t>
      </w:r>
      <w:r>
        <w:rPr>
          <w:rFonts w:ascii="Times New Roman" w:hAnsi="Times New Roman" w:eastAsia="仿宋_GB2312" w:cs="Times New Roman"/>
          <w:color w:val="000000"/>
          <w:sz w:val="32"/>
          <w:szCs w:val="32"/>
        </w:rPr>
        <w:t>积极推动台州职业技术学院、台州科技职业学院建成省“双高”高职院校和试办职业教育本科专业，努力促进浙江汽车职业技术学院扩容提质，大力支持台州广播电视大学创建全省一流开放大学。</w:t>
      </w:r>
      <w:r>
        <w:rPr>
          <w:rFonts w:ascii="Times New Roman" w:hAnsi="Times New Roman" w:eastAsia="仿宋_GB2312" w:cs="Times New Roman"/>
          <w:color w:val="000000" w:themeColor="text1"/>
          <w:sz w:val="32"/>
          <w:szCs w:val="32"/>
          <w14:textFill>
            <w14:solidFill>
              <w14:schemeClr w14:val="tx1"/>
            </w14:solidFill>
          </w14:textFill>
        </w:rPr>
        <w:t>加强学科专业建设，打造与产业发展相匹配的专业群，加快培育和引进一批学科领军人物和创新团队。深化产教融合，加强校企合作，全面提升高等教育服务社会发展能力和国际化水平。深化与国内外高等院校的战略合作，积极争取创办一所理工大学，谋求引进若干“双一流”高校来台州设立分校。</w:t>
      </w:r>
    </w:p>
    <w:p>
      <w:pPr>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z w:val="32"/>
          <w:szCs w:val="32"/>
        </w:rPr>
        <w:t>健全终身教育体系。</w:t>
      </w:r>
      <w:r>
        <w:rPr>
          <w:rFonts w:ascii="Times New Roman" w:hAnsi="Times New Roman" w:eastAsia="仿宋_GB2312" w:cs="Times New Roman"/>
          <w:color w:val="000000" w:themeColor="text1"/>
          <w:sz w:val="32"/>
          <w:szCs w:val="32"/>
          <w14:textFill>
            <w14:solidFill>
              <w14:schemeClr w14:val="tx1"/>
            </w14:solidFill>
          </w14:textFill>
        </w:rPr>
        <w:t>统筹利用各类职业教育资源，建成“市、区、街道、社区”四级“立体化、全覆盖”的社区教育网络，鼓励向多种社会群体开展形式多样的继续教育、老年教育，健全服务全民终身学习的教育制度。促进各类学习资源开放共享。建立多种形式学习成果认定转换机制，创新高等教育自学考试学分认定和转换方式，有序开展学历证书和职业技能等级证书所体现学习成果的认定、积累和转换，构建适应终身教育学习转换通道</w:t>
      </w:r>
      <w:r>
        <w:rPr>
          <w:rFonts w:ascii="Times New Roman" w:hAnsi="Times New Roman" w:eastAsia="仿宋_GB2312" w:cs="Times New Roman"/>
          <w:color w:val="000000"/>
          <w:kern w:val="0"/>
          <w:sz w:val="32"/>
          <w:szCs w:val="32"/>
        </w:rPr>
        <w:t>。</w:t>
      </w:r>
    </w:p>
    <w:p>
      <w:pPr>
        <w:spacing w:line="360" w:lineRule="auto"/>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促进特殊教育质量提升</w:t>
      </w:r>
      <w:r>
        <w:rPr>
          <w:rFonts w:ascii="Times New Roman" w:hAnsi="Times New Roman" w:eastAsia="仿宋_GB2312" w:cs="Times New Roman"/>
          <w:sz w:val="32"/>
          <w:szCs w:val="32"/>
        </w:rPr>
        <w:t>。建立健全</w:t>
      </w:r>
      <w:r>
        <w:rPr>
          <w:rFonts w:ascii="Times New Roman" w:hAnsi="Times New Roman" w:eastAsia="仿宋_GB2312" w:cs="Times New Roman"/>
          <w:bCs/>
          <w:color w:val="000000" w:themeColor="text1"/>
          <w:kern w:val="0"/>
          <w:sz w:val="32"/>
          <w:szCs w:val="32"/>
          <w14:textFill>
            <w14:solidFill>
              <w14:schemeClr w14:val="tx1"/>
            </w14:solidFill>
          </w14:textFill>
        </w:rPr>
        <w:t>布局合理、学段衔接、特普互补、普职融通、医教结合的特殊教育体系</w:t>
      </w:r>
      <w:r>
        <w:rPr>
          <w:rFonts w:ascii="Times New Roman" w:hAnsi="Times New Roman" w:eastAsia="仿宋_GB2312" w:cs="Times New Roman"/>
          <w:sz w:val="32"/>
          <w:szCs w:val="32"/>
        </w:rPr>
        <w:t>。</w:t>
      </w:r>
      <w:r>
        <w:rPr>
          <w:rFonts w:ascii="Times New Roman" w:hAnsi="Times New Roman" w:eastAsia="仿宋_GB2312" w:cs="Times New Roman"/>
          <w:bCs/>
          <w:color w:val="000000" w:themeColor="text1"/>
          <w:kern w:val="0"/>
          <w:sz w:val="32"/>
          <w:szCs w:val="32"/>
          <w14:textFill>
            <w14:solidFill>
              <w14:schemeClr w14:val="tx1"/>
            </w14:solidFill>
          </w14:textFill>
        </w:rPr>
        <w:t>完成特殊教育学校标准化建设，完善学前和高中段特殊教育布局。</w:t>
      </w:r>
      <w:r>
        <w:rPr>
          <w:rFonts w:ascii="Times New Roman" w:hAnsi="Times New Roman" w:eastAsia="仿宋_GB2312" w:cs="Times New Roman"/>
          <w:color w:val="000000"/>
          <w:kern w:val="0"/>
          <w:sz w:val="32"/>
          <w:szCs w:val="32"/>
        </w:rPr>
        <w:t>扩大轻度残疾儿童普通学校随班就读规模，</w:t>
      </w:r>
      <w:r>
        <w:rPr>
          <w:rFonts w:ascii="Times New Roman" w:hAnsi="Times New Roman" w:eastAsia="仿宋_GB2312" w:cs="Times New Roman"/>
          <w:bCs/>
          <w:color w:val="000000" w:themeColor="text1"/>
          <w:kern w:val="0"/>
          <w:sz w:val="32"/>
          <w:szCs w:val="32"/>
          <w14:textFill>
            <w14:solidFill>
              <w14:schemeClr w14:val="tx1"/>
            </w14:solidFill>
          </w14:textFill>
        </w:rPr>
        <w:t>全面实施“特教学校+卫星班”融合教育模式。</w:t>
      </w:r>
      <w:r>
        <w:rPr>
          <w:rFonts w:ascii="Times New Roman" w:hAnsi="Times New Roman" w:eastAsia="仿宋_GB2312" w:cs="Times New Roman"/>
          <w:color w:val="000000" w:themeColor="text1"/>
          <w:sz w:val="32"/>
          <w:szCs w:val="32"/>
          <w14:textFill>
            <w14:solidFill>
              <w14:schemeClr w14:val="tx1"/>
            </w14:solidFill>
          </w14:textFill>
        </w:rPr>
        <w:t>增加特殊教育投入，</w:t>
      </w:r>
      <w:r>
        <w:rPr>
          <w:rFonts w:ascii="Times New Roman" w:hAnsi="Times New Roman" w:eastAsia="仿宋_GB2312" w:cs="Times New Roman"/>
          <w:sz w:val="32"/>
          <w:szCs w:val="32"/>
        </w:rPr>
        <w:t>改善学校资源教室条件，大力支持建设适合残疾人就业的专业及实训平台。</w:t>
      </w:r>
      <w:r>
        <w:rPr>
          <w:rFonts w:ascii="Times New Roman" w:hAnsi="Times New Roman" w:eastAsia="仿宋_GB2312" w:cs="Times New Roman"/>
          <w:color w:val="000000" w:themeColor="text1"/>
          <w:sz w:val="32"/>
          <w:szCs w:val="32"/>
          <w14:textFill>
            <w14:solidFill>
              <w14:schemeClr w14:val="tx1"/>
            </w14:solidFill>
          </w14:textFill>
        </w:rPr>
        <w:t>建设特殊教育公共服务平台、特教康复指导中心。</w:t>
      </w:r>
      <w:r>
        <w:rPr>
          <w:rFonts w:ascii="Times New Roman" w:hAnsi="Times New Roman" w:eastAsia="仿宋_GB2312" w:cs="Times New Roman"/>
          <w:sz w:val="32"/>
          <w:szCs w:val="32"/>
        </w:rPr>
        <w:t>加大对特殊学校学生的教育资助和生活补助。</w:t>
      </w:r>
      <w:r>
        <w:rPr>
          <w:rFonts w:ascii="Times New Roman" w:hAnsi="Times New Roman" w:eastAsia="仿宋_GB2312" w:cs="Times New Roman"/>
          <w:color w:val="000000"/>
          <w:kern w:val="0"/>
          <w:sz w:val="32"/>
          <w:szCs w:val="32"/>
        </w:rPr>
        <w:t>到2025年，持证适龄残疾儿童少年学前段入学率达**%以上、义务段入学率达**%以上、高中段入学率达**%以上。</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vAlign w:val="center"/>
          </w:tcPr>
          <w:p>
            <w:pPr>
              <w:spacing w:line="580" w:lineRule="exact"/>
              <w:rPr>
                <w:rFonts w:ascii="Times New Roman" w:hAnsi="Times New Roman" w:eastAsia="仿宋_GB2312" w:cs="Times New Roman"/>
                <w:b/>
                <w:sz w:val="28"/>
                <w:szCs w:val="28"/>
              </w:rPr>
            </w:pPr>
            <w:r>
              <w:rPr>
                <w:rFonts w:ascii="Times New Roman" w:hAnsi="Times New Roman" w:eastAsia="仿宋_GB2312" w:cs="Times New Roman"/>
                <w:b/>
                <w:sz w:val="28"/>
                <w:szCs w:val="28"/>
              </w:rPr>
              <w:t>专栏5</w:t>
            </w:r>
            <w:r>
              <w:rPr>
                <w:rFonts w:hint="eastAsia" w:ascii="Times New Roman" w:hAnsi="Times New Roman" w:eastAsia="仿宋_GB2312" w:cs="Times New Roman"/>
                <w:b/>
                <w:sz w:val="28"/>
                <w:szCs w:val="28"/>
                <w:lang w:val="en-US" w:eastAsia="zh-CN"/>
              </w:rPr>
              <w:t xml:space="preserve">  </w:t>
            </w:r>
            <w:r>
              <w:rPr>
                <w:rFonts w:ascii="Times New Roman" w:hAnsi="Times New Roman" w:eastAsia="仿宋_GB2312" w:cs="Times New Roman"/>
                <w:b/>
                <w:sz w:val="28"/>
                <w:szCs w:val="28"/>
              </w:rPr>
              <w:t>现代教育服务提升重点工程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400" w:lineRule="exact"/>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sz w:val="24"/>
                <w:szCs w:val="24"/>
              </w:rPr>
              <w:t>学前教育“扩容提质”行动。</w:t>
            </w:r>
            <w:r>
              <w:rPr>
                <w:rFonts w:ascii="Times New Roman" w:hAnsi="Times New Roman" w:eastAsia="仿宋_GB2312" w:cs="Times New Roman"/>
                <w:sz w:val="24"/>
                <w:szCs w:val="24"/>
              </w:rPr>
              <w:t>计划投资50亿元。切实履行学前教育发展主题责任，实现乡镇公办幼儿园全覆盖，确保公办幼儿园在园幼儿占比达到60%以上。加强小区配套幼儿园的建设和监管，确保惠普性幼儿园在园占比达到95%以上。全面加快幼儿园升等晋级，新（改、扩）建二级以上幼儿园190所，二级幼儿园在园占比达到80%以上。</w:t>
            </w:r>
          </w:p>
          <w:p>
            <w:pPr>
              <w:spacing w:line="400" w:lineRule="exact"/>
              <w:ind w:firstLine="482" w:firstLineChars="200"/>
              <w:jc w:val="left"/>
              <w:rPr>
                <w:rFonts w:ascii="Times New Roman" w:hAnsi="Times New Roman" w:eastAsia="仿宋_GB2312" w:cs="Times New Roman"/>
                <w:sz w:val="24"/>
                <w:szCs w:val="24"/>
              </w:rPr>
            </w:pPr>
            <w:r>
              <w:rPr>
                <w:rFonts w:ascii="Times New Roman" w:hAnsi="Times New Roman" w:eastAsia="仿宋_GB2312" w:cs="Times New Roman"/>
                <w:b/>
                <w:sz w:val="24"/>
                <w:szCs w:val="24"/>
              </w:rPr>
              <w:t>义务教育“整体优化”行动。</w:t>
            </w:r>
            <w:r>
              <w:rPr>
                <w:rFonts w:ascii="Times New Roman" w:hAnsi="Times New Roman" w:eastAsia="仿宋_GB2312" w:cs="Times New Roman"/>
                <w:sz w:val="24"/>
                <w:szCs w:val="24"/>
              </w:rPr>
              <w:t>实施随迁子女蓝天教育计划，完善校网布局规划和建设，大幅增加随迁子女义务教育公办学位供给，全市随迁子女学校省级标准化率达100%。实施小学培智赋能计划、初中崛起行动，义务教育标准化学校占比 达100%，实现乡村名校建设全覆盖。义务教育质量进入全省第二方阵前列。</w:t>
            </w:r>
          </w:p>
          <w:p>
            <w:pPr>
              <w:spacing w:line="400" w:lineRule="exact"/>
              <w:ind w:firstLine="482" w:firstLineChars="200"/>
              <w:jc w:val="left"/>
              <w:rPr>
                <w:rFonts w:hint="eastAsia" w:ascii="Times New Roman" w:hAnsi="Times New Roman" w:eastAsia="仿宋_GB2312" w:cs="Times New Roman"/>
                <w:sz w:val="24"/>
                <w:szCs w:val="24"/>
              </w:rPr>
            </w:pPr>
            <w:r>
              <w:rPr>
                <w:rFonts w:ascii="Times New Roman" w:hAnsi="Times New Roman" w:eastAsia="仿宋_GB2312" w:cs="Times New Roman"/>
                <w:b/>
                <w:sz w:val="24"/>
                <w:szCs w:val="24"/>
              </w:rPr>
              <w:t>高中教育“固本强基”行动。</w:t>
            </w:r>
            <w:r>
              <w:rPr>
                <w:rFonts w:ascii="Times New Roman" w:hAnsi="Times New Roman" w:eastAsia="仿宋_GB2312" w:cs="Times New Roman"/>
                <w:sz w:val="24"/>
                <w:szCs w:val="24"/>
              </w:rPr>
              <w:t>建成100所体育特色学校，全市制定并实施台州市市直高中办学质量最高地架构行动，计划投资20亿，新建月湖中学、永宁中学，迁建三梅中学、新桥中学，改扩建黄岩二高，全面优化市直高中校网布局</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提高市区教育首位度。</w:t>
            </w:r>
            <w:r>
              <w:rPr>
                <w:rFonts w:hint="eastAsia" w:ascii="Times New Roman" w:hAnsi="Times New Roman" w:eastAsia="仿宋_GB2312" w:cs="Times New Roman"/>
                <w:sz w:val="24"/>
                <w:szCs w:val="24"/>
              </w:rPr>
              <w:t>支持台州中学等各县市优质高中发展，重点推进玉环中学扩建工程。深化高中课程改革。</w:t>
            </w:r>
          </w:p>
          <w:p>
            <w:pPr>
              <w:adjustRightInd w:val="0"/>
              <w:snapToGrid w:val="0"/>
              <w:spacing w:line="400" w:lineRule="exact"/>
              <w:ind w:firstLine="482" w:firstLineChars="200"/>
              <w:rPr>
                <w:rFonts w:ascii="Times New Roman" w:hAnsi="Times New Roman" w:eastAsia="仿宋_GB2312" w:cs="Times New Roman"/>
                <w:b/>
                <w:bCs/>
                <w:color w:val="000000"/>
                <w:sz w:val="24"/>
                <w:szCs w:val="24"/>
              </w:rPr>
            </w:pPr>
            <w:r>
              <w:rPr>
                <w:rFonts w:ascii="Times New Roman" w:hAnsi="Times New Roman" w:eastAsia="仿宋_GB2312" w:cs="Times New Roman"/>
                <w:b/>
                <w:bCs/>
                <w:color w:val="000000"/>
                <w:sz w:val="24"/>
                <w:szCs w:val="24"/>
              </w:rPr>
              <w:t>职业教育“协同推进”行动。</w:t>
            </w:r>
            <w:r>
              <w:rPr>
                <w:rFonts w:ascii="Times New Roman" w:hAnsi="Times New Roman" w:eastAsia="仿宋_GB2312" w:cs="Times New Roman"/>
                <w:color w:val="000000"/>
                <w:sz w:val="24"/>
                <w:szCs w:val="24"/>
              </w:rPr>
              <w:t>实施“一县一策”“一校一案”策略，新建集职业教育培养培训、科技研发、创新创业为一体的现代职业教育创业园区，改造20所中职学校。协同建设10个左右教师企业实践流动站、技术技能传承创新工作室，建设10个中小学生职业体验中心。</w:t>
            </w:r>
          </w:p>
          <w:p>
            <w:pPr>
              <w:spacing w:line="400" w:lineRule="exact"/>
              <w:ind w:firstLine="482" w:firstLineChars="200"/>
              <w:rPr>
                <w:rFonts w:ascii="Times New Roman" w:hAnsi="Times New Roman" w:eastAsia="宋体" w:cs="Times New Roman"/>
                <w:sz w:val="28"/>
                <w:szCs w:val="28"/>
              </w:rPr>
            </w:pPr>
            <w:r>
              <w:rPr>
                <w:rFonts w:ascii="Times New Roman" w:hAnsi="Times New Roman" w:eastAsia="仿宋_GB2312" w:cs="Times New Roman"/>
                <w:b/>
                <w:bCs/>
                <w:color w:val="000000"/>
                <w:kern w:val="44"/>
                <w:sz w:val="24"/>
                <w:szCs w:val="24"/>
              </w:rPr>
              <w:t>高等教育“</w:t>
            </w:r>
            <w:r>
              <w:rPr>
                <w:rFonts w:ascii="Times New Roman" w:hAnsi="Times New Roman" w:eastAsia="仿宋_GB2312" w:cs="Times New Roman"/>
                <w:b/>
                <w:bCs/>
                <w:color w:val="000000"/>
                <w:sz w:val="24"/>
                <w:szCs w:val="24"/>
              </w:rPr>
              <w:t>转型升级</w:t>
            </w:r>
            <w:r>
              <w:rPr>
                <w:rFonts w:ascii="Times New Roman" w:hAnsi="Times New Roman" w:eastAsia="仿宋_GB2312" w:cs="Times New Roman"/>
                <w:b/>
                <w:bCs/>
                <w:color w:val="000000"/>
                <w:kern w:val="44"/>
                <w:sz w:val="24"/>
                <w:szCs w:val="24"/>
              </w:rPr>
              <w:t>”</w:t>
            </w:r>
            <w:r>
              <w:rPr>
                <w:rFonts w:ascii="Times New Roman" w:hAnsi="Times New Roman" w:eastAsia="仿宋_GB2312" w:cs="Times New Roman"/>
                <w:b/>
                <w:bCs/>
                <w:color w:val="000000"/>
                <w:sz w:val="24"/>
                <w:szCs w:val="24"/>
              </w:rPr>
              <w:t>行动。</w:t>
            </w:r>
            <w:r>
              <w:rPr>
                <w:rFonts w:ascii="Times New Roman" w:hAnsi="Times New Roman" w:eastAsia="仿宋_GB2312" w:cs="Times New Roman"/>
                <w:color w:val="000000"/>
                <w:sz w:val="24"/>
                <w:szCs w:val="24"/>
              </w:rPr>
              <w:t>建设高水平学科专业体系，加强一流专业建设，深入推进国家级和省级一流专业建设“双万计划”，“十四五”期间，在省登峰学科、优势特色学科评比中走在全省前列。高水平构建人才培养体系，全面推进课程思政建设，深化教育教学改革，实施高质量大学生就业工程，鼓励引导优秀毕业生落户台州创业。</w:t>
            </w:r>
          </w:p>
          <w:p>
            <w:pPr>
              <w:adjustRightInd w:val="0"/>
              <w:snapToGrid w:val="0"/>
              <w:spacing w:line="400" w:lineRule="exact"/>
              <w:ind w:firstLine="482" w:firstLineChars="200"/>
              <w:rPr>
                <w:rFonts w:ascii="Times New Roman" w:hAnsi="Times New Roman" w:eastAsia="仿宋_GB2312" w:cs="Times New Roman"/>
                <w:color w:val="000000"/>
                <w:sz w:val="24"/>
                <w:szCs w:val="24"/>
              </w:rPr>
            </w:pPr>
            <w:r>
              <w:rPr>
                <w:rFonts w:ascii="Times New Roman" w:hAnsi="Times New Roman" w:eastAsia="仿宋_GB2312" w:cs="Times New Roman"/>
                <w:b/>
                <w:color w:val="000000"/>
                <w:sz w:val="24"/>
                <w:szCs w:val="24"/>
              </w:rPr>
              <w:t>终身教育“服务全民”改革行动。</w:t>
            </w:r>
            <w:r>
              <w:rPr>
                <w:rFonts w:ascii="Times New Roman" w:hAnsi="Times New Roman" w:eastAsia="仿宋_GB2312" w:cs="Times New Roman"/>
                <w:color w:val="000000"/>
                <w:sz w:val="24"/>
                <w:szCs w:val="24"/>
              </w:rPr>
              <w:t>健全服务全民终身学习的教育制度，鼓励学校面向多种社会群体开展多种形式的继续教育、社区教育和老年教育，强化学校的终身教育功能。85%的乡镇（街道）成人（社区）学校建成省级现代化成人（社区）学校。85%的县（市、区）成为学习型城市。</w:t>
            </w:r>
          </w:p>
          <w:p>
            <w:pPr>
              <w:adjustRightInd w:val="0"/>
              <w:snapToGrid w:val="0"/>
              <w:spacing w:line="400" w:lineRule="exact"/>
              <w:ind w:firstLine="482" w:firstLineChars="200"/>
              <w:rPr>
                <w:rFonts w:ascii="Times New Roman" w:hAnsi="Times New Roman" w:eastAsia="仿宋_GB2312" w:cs="Times New Roman"/>
                <w:bCs/>
                <w:color w:val="000000"/>
                <w:sz w:val="24"/>
                <w:szCs w:val="24"/>
              </w:rPr>
            </w:pPr>
            <w:r>
              <w:rPr>
                <w:rFonts w:ascii="Times New Roman" w:hAnsi="Times New Roman" w:eastAsia="仿宋_GB2312" w:cs="Times New Roman"/>
                <w:b/>
                <w:color w:val="000000"/>
                <w:sz w:val="24"/>
                <w:szCs w:val="24"/>
              </w:rPr>
              <w:t>特殊教育“全程融通”改革行动。</w:t>
            </w:r>
            <w:r>
              <w:rPr>
                <w:rFonts w:ascii="Times New Roman" w:hAnsi="Times New Roman" w:eastAsia="仿宋_GB2312" w:cs="Times New Roman"/>
                <w:bCs/>
                <w:color w:val="000000"/>
                <w:sz w:val="24"/>
                <w:szCs w:val="24"/>
              </w:rPr>
              <w:t>建立健全布局合理、学段衔接、普特融通的特殊教育体系，进一步提高残疾儿童少年入学率。巩固提高残疾儿童少年义务教育水平；积极探索企业、中等职业学校与特殊教育学校合作建设实训基地。</w:t>
            </w:r>
          </w:p>
        </w:tc>
      </w:tr>
    </w:tbl>
    <w:p>
      <w:pPr>
        <w:spacing w:line="600" w:lineRule="exact"/>
        <w:ind w:firstLine="643" w:firstLineChars="200"/>
        <w:outlineLvl w:val="1"/>
        <w:rPr>
          <w:rFonts w:ascii="楷体_GB2312" w:hAnsi="楷体_GB2312" w:eastAsia="楷体_GB2312" w:cs="楷体_GB2312"/>
          <w:b/>
          <w:sz w:val="32"/>
          <w:szCs w:val="32"/>
        </w:rPr>
      </w:pPr>
      <w:bookmarkStart w:id="16" w:name="_Toc66830148"/>
      <w:r>
        <w:rPr>
          <w:rFonts w:ascii="楷体_GB2312" w:hAnsi="楷体_GB2312" w:eastAsia="楷体_GB2312" w:cs="楷体_GB2312"/>
          <w:b/>
          <w:sz w:val="32"/>
          <w:szCs w:val="32"/>
        </w:rPr>
        <w:t>（三）聚焦劳有所得，完善就业创业服务</w:t>
      </w:r>
      <w:bookmarkEnd w:id="16"/>
    </w:p>
    <w:p>
      <w:pPr>
        <w:widowControl/>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坚持就业优先导向，以创造更多就业岗位和稳定现有岗位并重，积极开展技能培训服务，强化劳动权益保护，全方位构建就业创业服务体系，以创业带动就业，提升数字化创就业服务，实现更加充分更高质量的就业增收。</w:t>
      </w:r>
    </w:p>
    <w:p>
      <w:pPr>
        <w:ind w:firstLine="643" w:firstLineChars="200"/>
        <w:rPr>
          <w:rFonts w:hint="eastAsia" w:ascii="仿宋_GB2312" w:hAnsi="Segoe UI" w:eastAsia="仿宋_GB2312" w:cs="Segoe UI"/>
          <w:b/>
          <w:color w:val="191F25"/>
          <w:sz w:val="32"/>
          <w:szCs w:val="32"/>
          <w:shd w:val="clear" w:color="auto" w:fill="FFFFFF"/>
        </w:rPr>
      </w:pPr>
      <w:r>
        <w:rPr>
          <w:rFonts w:hint="eastAsia" w:ascii="仿宋_GB2312" w:hAnsi="Segoe UI" w:eastAsia="仿宋_GB2312" w:cs="Segoe UI"/>
          <w:b/>
          <w:color w:val="191F25"/>
          <w:sz w:val="32"/>
          <w:szCs w:val="32"/>
          <w:shd w:val="clear" w:color="auto" w:fill="FFFFFF"/>
        </w:rPr>
        <w:t>打造全省就业民生保障工作示范市。</w:t>
      </w:r>
      <w:r>
        <w:rPr>
          <w:rFonts w:hint="eastAsia" w:ascii="仿宋_GB2312" w:hAnsi="Segoe UI" w:eastAsia="仿宋_GB2312" w:cs="Segoe UI"/>
          <w:color w:val="191F25"/>
          <w:sz w:val="32"/>
          <w:szCs w:val="32"/>
          <w:shd w:val="clear" w:color="auto" w:fill="FFFFFF"/>
        </w:rPr>
        <w:t>深入推进高校毕业生就业创业促进计划及高校毕业生基层服务项目，拓展高校毕业生就业领域，完善就业见习扶持。强化就业困难人员兜底帮扶，完善就业困难人员管理认定和公益性岗位开发政策，动态消除“零就业家庭”。落实乡村振兴战略，多渠道开发就业岗位，促进农村富余劳动力有序外出就业、就地就近就业和返乡创业。健全扶持创业带动就业机制，进一步完善和落实创业担保贷款及贴息等创业扶持政策。大力培育一批创业孵化载体，加强创业项目库、创业导师库、创业培训师资库建设。</w:t>
      </w:r>
    </w:p>
    <w:p>
      <w:pPr>
        <w:spacing w:line="60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积极开展技能培训服务。</w:t>
      </w:r>
      <w:r>
        <w:rPr>
          <w:rFonts w:ascii="Times New Roman" w:hAnsi="Times New Roman" w:eastAsia="仿宋_GB2312" w:cs="Times New Roman"/>
          <w:sz w:val="32"/>
          <w:szCs w:val="32"/>
        </w:rPr>
        <w:t>聚焦台州456产业集群和“四大”建设，制定并公布职业培训目录。完善政府购买培训成果机制，</w:t>
      </w:r>
      <w:r>
        <w:rPr>
          <w:rFonts w:ascii="Times New Roman" w:hAnsi="Times New Roman" w:eastAsia="仿宋_GB2312" w:cs="Times New Roman"/>
          <w:color w:val="000000"/>
          <w:sz w:val="32"/>
          <w:szCs w:val="32"/>
        </w:rPr>
        <w:t>建立以职业技工院校、企业和各类职业培训机构为载体的覆盖城乡劳动者的职业培训体系。</w:t>
      </w:r>
      <w:r>
        <w:rPr>
          <w:rFonts w:ascii="Times New Roman" w:hAnsi="Times New Roman" w:eastAsia="仿宋_GB2312" w:cs="Times New Roman"/>
          <w:sz w:val="32"/>
          <w:szCs w:val="32"/>
        </w:rPr>
        <w:t>深入实施“技能台州”工程，以企业职工和失业人员、城镇新生劳动力、农村转移劳动力等为重点，大规模开展多形式的就业技能培训、岗位技能提升培训。</w:t>
      </w:r>
    </w:p>
    <w:p>
      <w:pPr>
        <w:ind w:firstLine="643" w:firstLineChars="200"/>
        <w:rPr>
          <w:rFonts w:hint="eastAsia"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完善工伤失业保险服务。</w:t>
      </w:r>
      <w:r>
        <w:rPr>
          <w:rFonts w:hint="eastAsia" w:ascii="仿宋_GB2312" w:hAnsi="Segoe UI" w:eastAsia="仿宋_GB2312" w:cs="Segoe UI"/>
          <w:color w:val="191F25"/>
          <w:sz w:val="32"/>
          <w:szCs w:val="32"/>
          <w:shd w:val="clear" w:color="auto" w:fill="FFFFFF"/>
        </w:rPr>
        <w:t>强化失业保险稳岗支持，阶段性降低失业保险费率、工伤保险费率。强化工伤保险精准扩面，推进新业态从业人员职业伤害保险</w:t>
      </w:r>
      <w:r>
        <w:rPr>
          <w:rFonts w:ascii="Times New Roman" w:hAnsi="Times New Roman" w:eastAsia="仿宋_GB2312" w:cs="Times New Roman"/>
          <w:color w:val="000000"/>
          <w:kern w:val="0"/>
          <w:sz w:val="32"/>
          <w:szCs w:val="32"/>
        </w:rPr>
        <w:t>。</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强化劳动权益保护。</w:t>
      </w:r>
      <w:r>
        <w:rPr>
          <w:rFonts w:ascii="Times New Roman" w:hAnsi="Times New Roman" w:eastAsia="仿宋_GB2312" w:cs="Times New Roman"/>
          <w:sz w:val="32"/>
          <w:szCs w:val="32"/>
        </w:rPr>
        <w:t>加强劳动者权益保障，健全最低工资标准增长机制和工资支付保障长效机制。深入推进“台州无欠薪”行动，实施制造业企业、工程建设项目等欠薪行为专项治理。构建面向全市的就业创业服务平台，推进公共就业服务全程信息化。深入实施就业失业监测预警工程，探索构建市县两级就业失业监测预警体系和失业预警应急处置工作体系。提高劳动监察执法效能，健全劳动仲裁体制机制，加强农民工权益保障，完善劳动关系协调机制，协同推进劳动纠纷综合治理，构建和谐劳动关系。</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
                <w:sz w:val="28"/>
                <w:szCs w:val="28"/>
              </w:rPr>
            </w:pPr>
            <w:r>
              <w:rPr>
                <w:rFonts w:ascii="Times New Roman" w:hAnsi="Times New Roman" w:eastAsia="仿宋_GB2312" w:cs="Times New Roman"/>
                <w:b/>
                <w:sz w:val="28"/>
                <w:szCs w:val="28"/>
              </w:rPr>
              <w:t>专栏6  就业创业服务提升工程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adjustRightInd w:val="0"/>
              <w:snapToGrid w:val="0"/>
              <w:spacing w:line="400" w:lineRule="exact"/>
              <w:ind w:firstLine="562" w:firstLineChars="200"/>
              <w:rPr>
                <w:rFonts w:ascii="Times New Roman" w:hAnsi="Times New Roman" w:eastAsia="仿宋_GB2312" w:cs="Times New Roman"/>
                <w:bCs/>
                <w:color w:val="000000"/>
                <w:sz w:val="24"/>
                <w:szCs w:val="24"/>
              </w:rPr>
            </w:pPr>
            <w:r>
              <w:rPr>
                <w:rFonts w:ascii="Times New Roman" w:hAnsi="Times New Roman" w:eastAsia="仿宋_GB2312" w:cs="Times New Roman"/>
                <w:b/>
                <w:color w:val="000000"/>
                <w:sz w:val="28"/>
                <w:szCs w:val="28"/>
              </w:rPr>
              <w:t>“1+1+1+N”高质量就业政策服务体系.</w:t>
            </w:r>
            <w:r>
              <w:rPr>
                <w:rFonts w:ascii="Times New Roman" w:hAnsi="Times New Roman" w:eastAsia="仿宋_GB2312" w:cs="Times New Roman"/>
                <w:b/>
                <w:bCs/>
                <w:color w:val="000000"/>
                <w:sz w:val="24"/>
                <w:szCs w:val="24"/>
              </w:rPr>
              <w:t>“一品”：</w:t>
            </w:r>
            <w:r>
              <w:rPr>
                <w:rFonts w:ascii="Times New Roman" w:hAnsi="Times New Roman" w:eastAsia="仿宋_GB2312" w:cs="Times New Roman"/>
                <w:bCs/>
                <w:color w:val="000000"/>
                <w:sz w:val="24"/>
                <w:szCs w:val="24"/>
              </w:rPr>
              <w:t>全力打造台州就业服务品牌，以品牌统领整合各项服务措施，实现就业服务系统化迈进。</w:t>
            </w:r>
            <w:r>
              <w:rPr>
                <w:rFonts w:ascii="Times New Roman" w:hAnsi="Times New Roman" w:eastAsia="仿宋_GB2312" w:cs="Times New Roman"/>
                <w:b/>
                <w:bCs/>
                <w:color w:val="000000"/>
                <w:sz w:val="24"/>
                <w:szCs w:val="24"/>
              </w:rPr>
              <w:t>“一码”：</w:t>
            </w:r>
            <w:r>
              <w:rPr>
                <w:rFonts w:ascii="Times New Roman" w:hAnsi="Times New Roman" w:eastAsia="仿宋_GB2312" w:cs="Times New Roman"/>
                <w:bCs/>
                <w:color w:val="000000"/>
                <w:sz w:val="24"/>
                <w:szCs w:val="24"/>
              </w:rPr>
              <w:t>持续推进“就业创业码”功能提升，强化数据整合，不断扩大应用场景，进一步完善“码”上服务闭环生态，实现就业服务向智能化迈进。</w:t>
            </w:r>
            <w:r>
              <w:rPr>
                <w:rFonts w:ascii="Times New Roman" w:hAnsi="Times New Roman" w:eastAsia="仿宋_GB2312" w:cs="Times New Roman"/>
                <w:b/>
                <w:bCs/>
                <w:color w:val="000000"/>
                <w:sz w:val="24"/>
                <w:szCs w:val="24"/>
              </w:rPr>
              <w:t>“一平台”：</w:t>
            </w:r>
            <w:r>
              <w:rPr>
                <w:rFonts w:ascii="Times New Roman" w:hAnsi="Times New Roman" w:eastAsia="仿宋_GB2312" w:cs="Times New Roman"/>
                <w:bCs/>
                <w:color w:val="000000"/>
                <w:sz w:val="24"/>
                <w:szCs w:val="24"/>
              </w:rPr>
              <w:t>积极开展“台州智慧就业（招聘）平台”建设，打造汇集“就业求助、高校毕业生服务、共享用工（零工）、省际劳务合作、创业服务”功能的信息平台，与求助电话、服务站点“三位一体”畅通“稳就业、助用工”服务渠道，实现就业服务向精细化迈进。</w:t>
            </w:r>
            <w:r>
              <w:rPr>
                <w:rFonts w:ascii="Times New Roman" w:hAnsi="Times New Roman" w:eastAsia="仿宋_GB2312" w:cs="Times New Roman"/>
                <w:b/>
                <w:bCs/>
                <w:color w:val="000000"/>
              </w:rPr>
              <w:t>“N”：</w:t>
            </w:r>
            <w:r>
              <w:rPr>
                <w:rFonts w:ascii="Times New Roman" w:hAnsi="Times New Roman" w:eastAsia="仿宋_GB2312" w:cs="Times New Roman"/>
                <w:bCs/>
                <w:color w:val="000000"/>
              </w:rPr>
              <w:t>健全N项推进更加充分更高质量的就业促进机制。</w:t>
            </w:r>
          </w:p>
        </w:tc>
      </w:tr>
    </w:tbl>
    <w:p>
      <w:pPr>
        <w:spacing w:line="600" w:lineRule="exact"/>
        <w:ind w:firstLine="643" w:firstLineChars="200"/>
        <w:outlineLvl w:val="1"/>
        <w:rPr>
          <w:rFonts w:ascii="楷体_GB2312" w:hAnsi="楷体_GB2312" w:eastAsia="楷体_GB2312" w:cs="楷体_GB2312"/>
          <w:b/>
          <w:sz w:val="32"/>
          <w:szCs w:val="32"/>
        </w:rPr>
      </w:pPr>
      <w:bookmarkStart w:id="17" w:name="_Toc66830149"/>
      <w:r>
        <w:rPr>
          <w:rFonts w:ascii="楷体_GB2312" w:hAnsi="楷体_GB2312" w:eastAsia="楷体_GB2312" w:cs="楷体_GB2312"/>
          <w:b/>
          <w:sz w:val="32"/>
          <w:szCs w:val="32"/>
        </w:rPr>
        <w:t>（四）聚焦病有所医，完善医疗卫生服务</w:t>
      </w:r>
      <w:bookmarkEnd w:id="17"/>
    </w:p>
    <w:p>
      <w:pPr>
        <w:widowControl/>
        <w:ind w:firstLine="640" w:firstLineChars="200"/>
        <w:jc w:val="left"/>
        <w:rPr>
          <w:rFonts w:ascii="Times New Roman" w:hAnsi="Times New Roman" w:eastAsia="宋体" w:cs="Times New Roman"/>
          <w:kern w:val="0"/>
          <w:sz w:val="24"/>
          <w:szCs w:val="24"/>
        </w:rPr>
      </w:pPr>
      <w:r>
        <w:rPr>
          <w:rFonts w:ascii="Times New Roman" w:hAnsi="Times New Roman" w:eastAsia="仿宋_GB2312" w:cs="Times New Roman"/>
          <w:color w:val="000000"/>
          <w:kern w:val="0"/>
          <w:sz w:val="32"/>
          <w:szCs w:val="32"/>
        </w:rPr>
        <w:t>树立大卫生、大健康观念，全域优化医疗卫生资源布局，建设高效整合型医疗卫生服务体系，筑牢公共卫生安全防线，完善医疗保障制度，推动</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以治病为中心</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向</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以健康为中心</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转变，为群众提供更加公平可及、综合连续和经济有效的全人全程健康管理服务。</w:t>
      </w:r>
    </w:p>
    <w:p>
      <w:pPr>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z w:val="32"/>
          <w:szCs w:val="32"/>
        </w:rPr>
        <w:t>提升医疗服务水平。</w:t>
      </w:r>
      <w:r>
        <w:rPr>
          <w:rFonts w:ascii="Times New Roman" w:hAnsi="Times New Roman" w:eastAsia="仿宋_GB2312" w:cs="Times New Roman"/>
          <w:bCs/>
          <w:color w:val="000000" w:themeColor="text1"/>
          <w:sz w:val="32"/>
          <w:szCs w:val="32"/>
          <w14:textFill>
            <w14:solidFill>
              <w14:schemeClr w14:val="tx1"/>
            </w14:solidFill>
          </w14:textFill>
        </w:rPr>
        <w:t>以创建健康城市示范市为目标，推进大健康体制机制</w:t>
      </w:r>
      <w:r>
        <w:rPr>
          <w:rFonts w:ascii="Times New Roman" w:hAnsi="Times New Roman" w:eastAsia="仿宋_GB2312" w:cs="Times New Roman"/>
          <w:color w:val="000000" w:themeColor="text1"/>
          <w:sz w:val="32"/>
          <w:szCs w:val="32"/>
          <w14:textFill>
            <w14:solidFill>
              <w14:schemeClr w14:val="tx1"/>
            </w14:solidFill>
          </w14:textFill>
        </w:rPr>
        <w:t>改革，着力构建医防融合、优质高效、分级有序的整合型医疗卫生服务体系。扩大优质医疗资源供给，加强与复旦大学公共卫生学院等国内外知名医学院校、医疗机构合作，力争新建5个省级医学重点学科，打造市级区域医疗中心。加快台州医院新院区、台州市第一人民医院迁建、台州市立医院迁建、台州护士学校迁建等项目建成投用，提升市级医院等级，力争新增3家三甲医院。提升基层医疗服务能力。持续深化“双下沉、两提升”工作，完善由三级公立医院或县级医院牵头、其他若干家县级医院及乡镇卫生院（社区卫生服务中心）为成员单位的紧密型医联体或医共体。</w:t>
      </w:r>
      <w:r>
        <w:rPr>
          <w:rFonts w:hint="eastAsia" w:ascii="Times New Roman" w:hAnsi="Times New Roman" w:eastAsia="仿宋_GB2312" w:cs="Times New Roman"/>
          <w:color w:val="000000" w:themeColor="text1"/>
          <w:sz w:val="32"/>
          <w:szCs w:val="32"/>
          <w14:textFill>
            <w14:solidFill>
              <w14:schemeClr w14:val="tx1"/>
            </w14:solidFill>
          </w14:textFill>
        </w:rPr>
        <w:t>进一步完善</w:t>
      </w:r>
      <w:r>
        <w:rPr>
          <w:rFonts w:ascii="Times New Roman" w:hAnsi="Times New Roman" w:eastAsia="仿宋_GB2312" w:cs="Times New Roman"/>
          <w:color w:val="000000" w:themeColor="text1"/>
          <w:sz w:val="32"/>
          <w:szCs w:val="32"/>
          <w14:textFill>
            <w14:solidFill>
              <w14:schemeClr w14:val="tx1"/>
            </w14:solidFill>
          </w14:textFill>
        </w:rPr>
        <w:t>分级诊疗制度。新建（迁建）一批乡镇卫生院和街道社区卫生服务中心，持续推进乡镇卫生院和社区卫生服务中心标准化、规范化建设和村卫生室达标建设。实施基层中医药服务能力提升工程，推动基层医疗机构中医馆</w:t>
      </w:r>
      <w:r>
        <w:rPr>
          <w:rFonts w:hint="eastAsia" w:ascii="Times New Roman" w:hAnsi="Times New Roman" w:eastAsia="仿宋_GB2312" w:cs="Times New Roman"/>
          <w:color w:val="000000" w:themeColor="text1"/>
          <w:sz w:val="32"/>
          <w:szCs w:val="32"/>
          <w14:textFill>
            <w14:solidFill>
              <w14:schemeClr w14:val="tx1"/>
            </w14:solidFill>
          </w14:textFill>
        </w:rPr>
        <w:t>星级化建设</w:t>
      </w:r>
      <w:r>
        <w:rPr>
          <w:rFonts w:ascii="Times New Roman" w:hAnsi="Times New Roman" w:eastAsia="仿宋_GB2312" w:cs="Times New Roman"/>
          <w:color w:val="000000" w:themeColor="text1"/>
          <w:sz w:val="32"/>
          <w:szCs w:val="32"/>
          <w14:textFill>
            <w14:solidFill>
              <w14:schemeClr w14:val="tx1"/>
            </w14:solidFill>
          </w14:textFill>
        </w:rPr>
        <w:t>。积极推进“互联网+”，加快区域医学共享中心建设。坚持中西医并重，大力发展中医药事业，强化中医药服务体系建设，推广中医药在全民医疗及健康管理中的应用。高质量做好卫生健康领域人才引进、培育工作，新增一批卫生人才列入省级人才培养工程。到2025年，全市居民健康发展指标力争达到全省中等水平。</w:t>
      </w:r>
    </w:p>
    <w:p>
      <w:pPr>
        <w:ind w:firstLine="643" w:firstLineChars="200"/>
        <w:rPr>
          <w:rFonts w:ascii="Times New Roman" w:hAnsi="Times New Roman" w:eastAsia="仿宋_GB2312" w:cs="Times New Roman"/>
          <w:color w:val="000000" w:themeColor="text1"/>
          <w:sz w:val="32"/>
          <w:szCs w:val="32"/>
          <w14:textFill>
            <w14:solidFill>
              <w14:schemeClr w14:val="tx1"/>
            </w14:solidFill>
          </w14:textFill>
        </w:rPr>
      </w:pPr>
      <w:r>
        <w:rPr>
          <w:rFonts w:ascii="Times New Roman" w:hAnsi="Times New Roman" w:eastAsia="仿宋_GB2312" w:cs="Times New Roman"/>
          <w:b/>
          <w:sz w:val="32"/>
          <w:szCs w:val="32"/>
        </w:rPr>
        <w:t>完善公共卫生服务体系。</w:t>
      </w:r>
      <w:r>
        <w:rPr>
          <w:rFonts w:ascii="Times New Roman" w:hAnsi="Times New Roman" w:eastAsia="仿宋_GB2312" w:cs="Times New Roman"/>
          <w:color w:val="000000" w:themeColor="text1"/>
          <w:sz w:val="32"/>
          <w:szCs w:val="32"/>
          <w14:textFill>
            <w14:solidFill>
              <w14:schemeClr w14:val="tx1"/>
            </w14:solidFill>
          </w14:textFill>
        </w:rPr>
        <w:t>全面规范实施国家基本和重大公共卫生服务项目，合理扩大覆盖范围，建立人均基本公共卫生服务经费稳定增长机制。实施重点人群健康关爱工程，建立慢性病全周期健康管理和基层首诊服务模式，持续提升家庭医生签约覆盖面和服务质量，到2025年，老年人、慢性病患者等重点人群签约率达**%以上。强化慢性病综合防控，开展慢性病人群精准健康教育和行为干预，加强高血压、糖尿病规范管理和有效控制，有效降低重大慢性病过早死亡率。</w:t>
      </w:r>
      <w:r>
        <w:rPr>
          <w:rFonts w:ascii="Times New Roman" w:hAnsi="Times New Roman" w:eastAsia="仿宋_GB2312" w:cs="Times New Roman"/>
          <w:color w:val="000000"/>
          <w:kern w:val="0"/>
          <w:sz w:val="32"/>
          <w:szCs w:val="32"/>
        </w:rPr>
        <w:t xml:space="preserve">合理布局院前医疗急救网络，平均急救反应时间少于 </w:t>
      </w:r>
      <w:r>
        <w:rPr>
          <w:rFonts w:ascii="Times New Roman" w:hAnsi="Times New Roman" w:eastAsia="宋体" w:cs="Times New Roman"/>
          <w:color w:val="000000"/>
          <w:kern w:val="0"/>
          <w:sz w:val="32"/>
          <w:szCs w:val="32"/>
        </w:rPr>
        <w:t xml:space="preserve">15 </w:t>
      </w:r>
      <w:r>
        <w:rPr>
          <w:rFonts w:ascii="Times New Roman" w:hAnsi="Times New Roman" w:eastAsia="仿宋_GB2312" w:cs="Times New Roman"/>
          <w:color w:val="000000"/>
          <w:kern w:val="0"/>
          <w:sz w:val="32"/>
          <w:szCs w:val="32"/>
        </w:rPr>
        <w:t xml:space="preserve">分钟，建设市院前急救 </w:t>
      </w:r>
      <w:r>
        <w:rPr>
          <w:rFonts w:ascii="Times New Roman" w:hAnsi="Times New Roman" w:eastAsia="宋体" w:cs="Times New Roman"/>
          <w:color w:val="000000"/>
          <w:kern w:val="0"/>
          <w:sz w:val="32"/>
          <w:szCs w:val="32"/>
        </w:rPr>
        <w:t xml:space="preserve">120 </w:t>
      </w:r>
      <w:r>
        <w:rPr>
          <w:rFonts w:ascii="Times New Roman" w:hAnsi="Times New Roman" w:eastAsia="仿宋_GB2312" w:cs="Times New Roman"/>
          <w:color w:val="000000"/>
          <w:kern w:val="0"/>
          <w:sz w:val="32"/>
          <w:szCs w:val="32"/>
        </w:rPr>
        <w:t>云平台，实现全市</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一网管理、一键急救</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 加强采供血服务体系建设，进一步提升全市的血液保障能力和血液安全。</w:t>
      </w:r>
      <w:r>
        <w:rPr>
          <w:rFonts w:ascii="Times New Roman" w:hAnsi="Times New Roman" w:eastAsia="仿宋_GB2312" w:cs="Times New Roman"/>
          <w:color w:val="000000" w:themeColor="text1"/>
          <w:sz w:val="32"/>
          <w:szCs w:val="32"/>
          <w14:textFill>
            <w14:solidFill>
              <w14:schemeClr w14:val="tx1"/>
            </w14:solidFill>
          </w14:textFill>
        </w:rPr>
        <w:t>加强精神卫生体系建设，实现全市精神病专科医院全覆盖。加强血液质量和安全管理，每千人口献血量达到全省中等水平。</w:t>
      </w:r>
    </w:p>
    <w:p>
      <w:pPr>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建立应急防控管理体系。</w:t>
      </w:r>
      <w:r>
        <w:rPr>
          <w:rFonts w:ascii="Times New Roman" w:hAnsi="Times New Roman" w:eastAsia="仿宋_GB2312" w:cs="Times New Roman"/>
          <w:color w:val="000000"/>
          <w:kern w:val="0"/>
          <w:sz w:val="32"/>
          <w:szCs w:val="32"/>
        </w:rPr>
        <w:t>完善重大疫情防控体制机制，特别是重大疫情应急响应机制和防治协同机制，</w:t>
      </w:r>
      <w:r>
        <w:rPr>
          <w:rFonts w:ascii="Times New Roman" w:hAnsi="Times New Roman" w:eastAsia="仿宋_GB2312" w:cs="Times New Roman"/>
          <w:bCs/>
          <w:color w:val="000000" w:themeColor="text1"/>
          <w:sz w:val="32"/>
          <w:szCs w:val="32"/>
          <w14:textFill>
            <w14:solidFill>
              <w14:schemeClr w14:val="tx1"/>
            </w14:solidFill>
          </w14:textFill>
        </w:rPr>
        <w:t>建立全市公共卫生应急指挥平台</w:t>
      </w:r>
      <w:r>
        <w:rPr>
          <w:rFonts w:ascii="Times New Roman" w:hAnsi="Times New Roman" w:eastAsia="仿宋_GB2312" w:cs="Times New Roman"/>
          <w:color w:val="000000"/>
          <w:kern w:val="0"/>
          <w:sz w:val="32"/>
          <w:szCs w:val="32"/>
        </w:rPr>
        <w:t>。改革完善疾病预防控制体系，完成全市疾病预防控制机构标准化建设，</w:t>
      </w:r>
      <w:r>
        <w:rPr>
          <w:rFonts w:ascii="Times New Roman" w:hAnsi="Times New Roman" w:eastAsia="仿宋_GB2312" w:cs="Times New Roman"/>
          <w:bCs/>
          <w:color w:val="000000" w:themeColor="text1"/>
          <w:sz w:val="32"/>
          <w:szCs w:val="32"/>
          <w14:textFill>
            <w14:solidFill>
              <w14:schemeClr w14:val="tx1"/>
            </w14:solidFill>
          </w14:textFill>
        </w:rPr>
        <w:t>规范医疗机构发热门诊建设。优化重大疫情医疗救治体系。加强市级定点医院基础设施建设和设备升级，</w:t>
      </w:r>
      <w:r>
        <w:rPr>
          <w:rFonts w:ascii="Times New Roman" w:hAnsi="Times New Roman" w:eastAsia="仿宋_GB2312" w:cs="Times New Roman"/>
          <w:color w:val="000000"/>
          <w:kern w:val="0"/>
          <w:sz w:val="32"/>
          <w:szCs w:val="32"/>
        </w:rPr>
        <w:t>布局建设</w:t>
      </w:r>
      <w:r>
        <w:rPr>
          <w:rFonts w:ascii="Times New Roman" w:hAnsi="Times New Roman" w:eastAsia="宋体" w:cs="Times New Roman"/>
          <w:color w:val="000000"/>
          <w:kern w:val="0"/>
          <w:sz w:val="32"/>
          <w:szCs w:val="32"/>
        </w:rPr>
        <w:t>2-3</w:t>
      </w:r>
      <w:r>
        <w:rPr>
          <w:rFonts w:ascii="Times New Roman" w:hAnsi="Times New Roman" w:eastAsia="仿宋_GB2312" w:cs="Times New Roman"/>
          <w:color w:val="000000"/>
          <w:kern w:val="0"/>
          <w:sz w:val="32"/>
          <w:szCs w:val="32"/>
        </w:rPr>
        <w:t>家中医疫病防治基地，推进重症、呼吸、麻醉、感染等公共卫生相关学科建设，提升综合救治和多学科联合诊治水平。</w:t>
      </w:r>
      <w:r>
        <w:rPr>
          <w:rFonts w:ascii="Times New Roman" w:hAnsi="Times New Roman" w:eastAsia="仿宋_GB2312" w:cs="Times New Roman"/>
          <w:bCs/>
          <w:color w:val="000000" w:themeColor="text1"/>
          <w:sz w:val="32"/>
          <w:szCs w:val="32"/>
          <w14:textFill>
            <w14:solidFill>
              <w14:schemeClr w14:val="tx1"/>
            </w14:solidFill>
          </w14:textFill>
        </w:rPr>
        <w:t>市、县两级分别建成符合实际功能定位和发展规划的公共卫生检验检测与研究中心、公共卫生检测实验室。</w:t>
      </w:r>
      <w:r>
        <w:rPr>
          <w:rFonts w:ascii="Times New Roman" w:hAnsi="Times New Roman" w:eastAsia="仿宋_GB2312" w:cs="Times New Roman"/>
          <w:color w:val="000000"/>
          <w:kern w:val="0"/>
          <w:sz w:val="32"/>
          <w:szCs w:val="32"/>
        </w:rPr>
        <w:t>推进基层医疗机构发热诊室建设，完善</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哨点</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体系。</w:t>
      </w:r>
      <w:r>
        <w:rPr>
          <w:rFonts w:ascii="Times New Roman" w:hAnsi="Times New Roman" w:eastAsia="仿宋_GB2312" w:cs="Times New Roman"/>
          <w:bCs/>
          <w:color w:val="000000" w:themeColor="text1"/>
          <w:sz w:val="32"/>
          <w:szCs w:val="32"/>
          <w14:textFill>
            <w14:solidFill>
              <w14:schemeClr w14:val="tx1"/>
            </w14:solidFill>
          </w14:textFill>
        </w:rPr>
        <w:t>增强公共设施平战两用改造能力，健全统一的应急物资保障体系，着力加强防控救治支撑能力建设。</w:t>
      </w:r>
      <w:r>
        <w:rPr>
          <w:rFonts w:ascii="Times New Roman" w:hAnsi="Times New Roman" w:eastAsia="仿宋_GB2312" w:cs="Times New Roman"/>
          <w:color w:val="000000"/>
          <w:kern w:val="0"/>
          <w:sz w:val="32"/>
          <w:szCs w:val="32"/>
        </w:rPr>
        <w:t>到</w:t>
      </w:r>
      <w:r>
        <w:rPr>
          <w:rFonts w:ascii="Times New Roman" w:hAnsi="Times New Roman" w:eastAsia="宋体" w:cs="Times New Roman"/>
          <w:color w:val="000000"/>
          <w:kern w:val="0"/>
          <w:sz w:val="32"/>
          <w:szCs w:val="32"/>
        </w:rPr>
        <w:t>2025</w:t>
      </w:r>
      <w:r>
        <w:rPr>
          <w:rFonts w:ascii="Times New Roman" w:hAnsi="Times New Roman" w:eastAsia="仿宋_GB2312" w:cs="Times New Roman"/>
          <w:color w:val="000000"/>
          <w:kern w:val="0"/>
          <w:sz w:val="32"/>
          <w:szCs w:val="32"/>
        </w:rPr>
        <w:t>年，建成决策科学、指挥高效、运转有序、协同联动的现代化公共卫生应急管理体系，达到国内地市级领先水平。</w:t>
      </w:r>
    </w:p>
    <w:p>
      <w:pPr>
        <w:ind w:firstLine="643" w:firstLineChars="200"/>
        <w:rPr>
          <w:rFonts w:hint="eastAsia"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完善医疗保障制度。</w:t>
      </w:r>
      <w:r>
        <w:rPr>
          <w:rFonts w:ascii="Times New Roman" w:hAnsi="Times New Roman" w:eastAsia="仿宋_GB2312" w:cs="Times New Roman"/>
          <w:bCs/>
          <w:color w:val="000000" w:themeColor="text1"/>
          <w:sz w:val="32"/>
          <w:szCs w:val="32"/>
          <w14:textFill>
            <w14:solidFill>
              <w14:schemeClr w14:val="tx1"/>
            </w14:solidFill>
          </w14:textFill>
        </w:rPr>
        <w:t>加快做实基本医疗保障市级统筹，健全重大疾病医疗保险和救助制度，大力发展商业补充医疗保险，探索建立长期护理保险制度，加快建立覆盖全民、城乡统筹、权责清晰、保障适度、可持续的多层次医疗保障制度体系。做实和强化总额预算管理制度，推进医保支付方式改革，深化住院医疗服务按DRGs点数法付费，普通门诊按人头包干付费等，探索适合中医服务、“互联网+”医疗服务、特效药品和耗材的医保支付方式。稳妥调整医疗服务价格，深化药品、医用耗材集中带量采购制度改革。加快医保信息化平台建设。实行医保基金预算管理和绩效评价。</w:t>
      </w:r>
    </w:p>
    <w:p>
      <w:pPr>
        <w:ind w:firstLine="640" w:firstLineChars="200"/>
        <w:rPr>
          <w:rFonts w:ascii="Times New Roman" w:hAnsi="Times New Roman" w:eastAsia="仿宋_GB2312" w:cs="Times New Roman"/>
          <w:bCs/>
          <w:color w:val="000000" w:themeColor="text1"/>
          <w:sz w:val="32"/>
          <w:szCs w:val="32"/>
          <w14:textFill>
            <w14:solidFill>
              <w14:schemeClr w14:val="tx1"/>
            </w14:solidFill>
          </w14:textFill>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
                <w:bCs/>
                <w:color w:val="000000" w:themeColor="text1"/>
                <w:sz w:val="28"/>
                <w:szCs w:val="28"/>
                <w14:textFill>
                  <w14:solidFill>
                    <w14:schemeClr w14:val="tx1"/>
                  </w14:solidFill>
                </w14:textFill>
              </w:rPr>
            </w:pPr>
            <w:bookmarkStart w:id="18" w:name="_Toc59915430"/>
            <w:bookmarkStart w:id="19" w:name="_Toc22341"/>
            <w:bookmarkStart w:id="20" w:name="_Toc60773474"/>
            <w:bookmarkStart w:id="21" w:name="_Toc3261"/>
            <w:bookmarkStart w:id="22" w:name="_Toc16349"/>
            <w:bookmarkStart w:id="23" w:name="_Toc26189"/>
            <w:bookmarkStart w:id="24" w:name="_Toc816"/>
            <w:bookmarkStart w:id="25" w:name="_Toc60563126"/>
            <w:bookmarkStart w:id="26" w:name="_Toc60738589"/>
            <w:bookmarkStart w:id="27" w:name="_Toc4844"/>
            <w:bookmarkStart w:id="28" w:name="_Toc27167"/>
            <w:bookmarkStart w:id="29" w:name="_Toc60125964"/>
            <w:bookmarkStart w:id="30" w:name="_Toc13494"/>
            <w:bookmarkStart w:id="31" w:name="_Toc17508"/>
            <w:bookmarkStart w:id="32" w:name="_Toc30098"/>
            <w:bookmarkStart w:id="33" w:name="_Toc62992309"/>
            <w:bookmarkStart w:id="34" w:name="_Toc10810"/>
            <w:r>
              <w:rPr>
                <w:rFonts w:ascii="Times New Roman" w:hAnsi="Times New Roman" w:eastAsia="仿宋_GB2312" w:cs="Times New Roman"/>
                <w:b/>
                <w:color w:val="000000"/>
                <w:sz w:val="28"/>
                <w:szCs w:val="28"/>
              </w:rPr>
              <w:t>专栏7  医疗卫生服务提升重大</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Fonts w:ascii="Times New Roman" w:hAnsi="Times New Roman" w:eastAsia="仿宋_GB2312" w:cs="Times New Roman"/>
                <w:b/>
                <w:color w:val="000000"/>
                <w:sz w:val="28"/>
                <w:szCs w:val="28"/>
              </w:rPr>
              <w:t>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400" w:lineRule="exact"/>
              <w:ind w:firstLine="482" w:firstLineChars="200"/>
              <w:rPr>
                <w:rFonts w:ascii="Times New Roman" w:hAnsi="Times New Roman" w:eastAsia="仿宋_GB2312" w:cs="Times New Roman"/>
                <w:kern w:val="0"/>
                <w:sz w:val="24"/>
                <w:szCs w:val="24"/>
              </w:rPr>
            </w:pPr>
            <w:r>
              <w:rPr>
                <w:rFonts w:ascii="Times New Roman" w:hAnsi="Times New Roman" w:eastAsia="仿宋_GB2312" w:cs="Times New Roman"/>
                <w:b/>
                <w:bCs/>
                <w:color w:val="000000"/>
                <w:sz w:val="24"/>
                <w:szCs w:val="24"/>
              </w:rPr>
              <w:t>中医服务提升工程.</w:t>
            </w:r>
            <w:r>
              <w:rPr>
                <w:rFonts w:ascii="Times New Roman" w:hAnsi="Times New Roman" w:eastAsia="仿宋_GB2312" w:cs="Times New Roman"/>
                <w:color w:val="000000"/>
                <w:kern w:val="0"/>
                <w:sz w:val="24"/>
                <w:szCs w:val="24"/>
              </w:rPr>
              <w:t>加强对中医医院的医保政策倾斜与扶持，推动增加一批疗效确切的新中医诊疗服务项目设置并纳入医保支付，实行中医医保 DRGs 支付方式改革。健全中医医疗服务体系建设,以台州市区域中医医疗中心为龙头，各级各类中医医疗机构和其他医疗机构中医科为骨干，基层医疗机构为基础，融中医治未病、康复、护理、预防保健于一体，推进中医药综合服务。发挥中医药特 点，增强疫病救治参与度，建设全市中医疫病基地。</w:t>
            </w:r>
          </w:p>
          <w:p>
            <w:pPr>
              <w:widowControl/>
              <w:spacing w:line="400" w:lineRule="exact"/>
              <w:ind w:firstLine="482" w:firstLineChars="200"/>
              <w:jc w:val="left"/>
              <w:rPr>
                <w:rFonts w:ascii="Times New Roman" w:hAnsi="Times New Roman" w:eastAsia="仿宋_GB2312" w:cs="Times New Roman"/>
                <w:bCs/>
                <w:color w:val="000000" w:themeColor="text1"/>
                <w:sz w:val="24"/>
                <w:szCs w:val="24"/>
                <w14:textFill>
                  <w14:solidFill>
                    <w14:schemeClr w14:val="tx1"/>
                  </w14:solidFill>
                </w14:textFill>
              </w:rPr>
            </w:pPr>
            <w:r>
              <w:rPr>
                <w:rFonts w:ascii="Times New Roman" w:hAnsi="Times New Roman" w:eastAsia="仿宋_GB2312" w:cs="Times New Roman"/>
                <w:b/>
                <w:bCs/>
                <w:color w:val="000000" w:themeColor="text1"/>
                <w:sz w:val="24"/>
                <w:szCs w:val="24"/>
                <w14:textFill>
                  <w14:solidFill>
                    <w14:schemeClr w14:val="tx1"/>
                  </w14:solidFill>
                </w14:textFill>
              </w:rPr>
              <w:t>县域医疗卫生服务能力提升工程.</w:t>
            </w:r>
            <w:r>
              <w:rPr>
                <w:rFonts w:ascii="Times New Roman" w:hAnsi="Times New Roman" w:eastAsia="仿宋_GB2312" w:cs="Times New Roman"/>
                <w:bCs/>
                <w:color w:val="000000" w:themeColor="text1"/>
                <w:sz w:val="24"/>
                <w:szCs w:val="24"/>
                <w14:textFill>
                  <w14:solidFill>
                    <w14:schemeClr w14:val="tx1"/>
                  </w14:solidFill>
                </w14:textFill>
              </w:rPr>
              <w:t>医共体牵头医院强院工程。推进</w:t>
            </w:r>
            <w:r>
              <w:rPr>
                <w:rFonts w:hint="eastAsia" w:ascii="Times New Roman" w:hAnsi="Times New Roman" w:eastAsia="仿宋_GB2312" w:cs="Times New Roman"/>
                <w:bCs/>
                <w:color w:val="000000" w:themeColor="text1"/>
                <w:sz w:val="24"/>
                <w:szCs w:val="24"/>
                <w14:textFill>
                  <w14:solidFill>
                    <w14:schemeClr w14:val="tx1"/>
                  </w14:solidFill>
                </w14:textFill>
              </w:rPr>
              <w:t>临海市公共卫生医学中心建设工程（临海市第一人民医院迁建工程）、临海市第二人民医院扩建工程、</w:t>
            </w:r>
            <w:r>
              <w:rPr>
                <w:rFonts w:ascii="Times New Roman" w:hAnsi="Times New Roman" w:eastAsia="仿宋_GB2312" w:cs="Times New Roman"/>
                <w:bCs/>
                <w:color w:val="000000" w:themeColor="text1"/>
                <w:sz w:val="24"/>
                <w:szCs w:val="24"/>
                <w14:textFill>
                  <w14:solidFill>
                    <w14:schemeClr w14:val="tx1"/>
                  </w14:solidFill>
                </w14:textFill>
              </w:rPr>
              <w:t>温岭第五人民医院迁建、玉环市人民医院改扩建、三门县人民医院迁建二期、仙居县人民医院（妇保院）迁建等项目。基层医疗卫生服务能力提升工程。推进一批乡镇卫生院（社区卫生服务中心）新（改扩）建工程。到2025年，力争 80%以上的乡镇卫生院能够提供住院服务,提高中医药服务和医疗康复能力。推行县乡村卫生一体化综合改革。规范政府办村卫生室建设，逐步将村卫生室纳入医共体统一管理。</w:t>
            </w:r>
          </w:p>
          <w:p>
            <w:pPr>
              <w:spacing w:line="400" w:lineRule="exact"/>
              <w:ind w:firstLine="482" w:firstLineChars="200"/>
              <w:rPr>
                <w:rFonts w:ascii="Times New Roman" w:hAnsi="Times New Roman" w:eastAsia="仿宋_GB2312" w:cs="Times New Roman"/>
                <w:bCs/>
                <w:color w:val="000000" w:themeColor="text1"/>
                <w:sz w:val="24"/>
                <w:szCs w:val="24"/>
                <w14:textFill>
                  <w14:solidFill>
                    <w14:schemeClr w14:val="tx1"/>
                  </w14:solidFill>
                </w14:textFill>
              </w:rPr>
            </w:pPr>
            <w:r>
              <w:rPr>
                <w:rFonts w:hint="eastAsia" w:ascii="Times New Roman" w:hAnsi="Times New Roman" w:eastAsia="仿宋_GB2312" w:cs="Times New Roman"/>
                <w:b/>
                <w:bCs/>
                <w:color w:val="000000" w:themeColor="text1"/>
                <w:sz w:val="24"/>
                <w:szCs w:val="24"/>
                <w14:textFill>
                  <w14:solidFill>
                    <w14:schemeClr w14:val="tx1"/>
                  </w14:solidFill>
                </w14:textFill>
              </w:rPr>
              <w:t>市高层次人才特殊支持计划，</w:t>
            </w:r>
            <w:r>
              <w:rPr>
                <w:rFonts w:hint="eastAsia" w:ascii="Times New Roman" w:hAnsi="Times New Roman" w:eastAsia="仿宋_GB2312" w:cs="Times New Roman"/>
                <w:bCs/>
                <w:color w:val="000000" w:themeColor="text1"/>
                <w:sz w:val="24"/>
                <w:szCs w:val="24"/>
                <w14:textFill>
                  <w14:solidFill>
                    <w14:schemeClr w14:val="tx1"/>
                  </w14:solidFill>
                </w14:textFill>
              </w:rPr>
              <w:t>培养第一层次人才5人、第二层次人才25人、第三层次 70 人。实施“导师结对培养优秀青年人才计划”，推出15名导师，导师结对培养青年人才50名。实施“青年骨干人才培训计划”，选送50名技术骨干进行培训。推进“全科医师轮训培养制度”，建设3家市级全科医生轮训基地，计划培训 500 人，推进“住院医师规范化培训制度”引进国外先进一流住院医师培训团队，全面推进住院医师培训质量，培训住院医师1500人以上。</w:t>
            </w:r>
          </w:p>
          <w:p>
            <w:pPr>
              <w:spacing w:line="400" w:lineRule="exact"/>
              <w:ind w:firstLine="482" w:firstLineChars="200"/>
              <w:rPr>
                <w:rFonts w:ascii="Times New Roman" w:hAnsi="Times New Roman" w:eastAsia="仿宋_GB2312" w:cs="Times New Roman"/>
                <w:color w:val="000000"/>
                <w:kern w:val="0"/>
                <w:sz w:val="24"/>
                <w:szCs w:val="24"/>
              </w:rPr>
            </w:pPr>
            <w:r>
              <w:rPr>
                <w:rFonts w:ascii="Times New Roman" w:hAnsi="Times New Roman" w:eastAsia="仿宋_GB2312" w:cs="Times New Roman"/>
                <w:b/>
                <w:color w:val="000000"/>
                <w:kern w:val="0"/>
                <w:sz w:val="24"/>
                <w:szCs w:val="24"/>
              </w:rPr>
              <w:t>公共卫生服务能力提升工程。</w:t>
            </w:r>
            <w:r>
              <w:rPr>
                <w:rFonts w:ascii="Times New Roman" w:hAnsi="Times New Roman" w:eastAsia="仿宋_GB2312" w:cs="Times New Roman"/>
                <w:color w:val="000000"/>
                <w:kern w:val="0"/>
                <w:sz w:val="24"/>
                <w:szCs w:val="24"/>
              </w:rPr>
              <w:t>加强市县两级疾控中心基础设施、实验室检验检测、现场调查处置和公共卫生大数据应用等能力建设。实施谋划县（市、区）公共卫生中心项目建设，建成具有较强诊治水平、较大收治规模的传染病院区。推动建设台州市精神卫生中心（台州市 心理医院）。到 2025 年，精神科医师数提升至 4 名/ 10 万人。</w:t>
            </w:r>
          </w:p>
        </w:tc>
      </w:tr>
    </w:tbl>
    <w:p>
      <w:pPr>
        <w:spacing w:line="600" w:lineRule="exact"/>
        <w:ind w:firstLine="643" w:firstLineChars="200"/>
        <w:outlineLvl w:val="1"/>
        <w:rPr>
          <w:rFonts w:ascii="楷体_GB2312" w:hAnsi="楷体_GB2312" w:eastAsia="楷体_GB2312" w:cs="楷体_GB2312"/>
          <w:b/>
          <w:sz w:val="32"/>
          <w:szCs w:val="32"/>
        </w:rPr>
      </w:pPr>
      <w:bookmarkStart w:id="35" w:name="_Toc66830150"/>
      <w:r>
        <w:rPr>
          <w:rFonts w:ascii="楷体_GB2312" w:hAnsi="楷体_GB2312" w:eastAsia="楷体_GB2312" w:cs="楷体_GB2312"/>
          <w:b/>
          <w:sz w:val="32"/>
          <w:szCs w:val="32"/>
        </w:rPr>
        <w:t>（五）聚焦娱有所乐，完善公共文体服务</w:t>
      </w:r>
      <w:bookmarkEnd w:id="35"/>
    </w:p>
    <w:p>
      <w:pPr>
        <w:widowControl/>
        <w:ind w:firstLine="640"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color w:val="000000"/>
          <w:kern w:val="0"/>
          <w:sz w:val="32"/>
          <w:szCs w:val="32"/>
        </w:rPr>
        <w:t>紧扣人民群众多样化精神文化和休闲文体需求，以设施提升、服务提质为抓手，提升基本公共文化服务能力，丰富多元文化产品和服务供给，积极完善公共体育服务，加快构建更加便利普及的公共文体服务体系，促进公共文体服务从保障型向高品质转变。</w:t>
      </w:r>
    </w:p>
    <w:p>
      <w:pPr>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sz w:val="32"/>
          <w:szCs w:val="32"/>
        </w:rPr>
        <w:t>提升基本公共文化服务能力。</w:t>
      </w:r>
      <w:r>
        <w:rPr>
          <w:rFonts w:ascii="Times New Roman" w:hAnsi="Times New Roman" w:eastAsia="仿宋_GB2312" w:cs="Times New Roman"/>
          <w:bCs/>
          <w:color w:val="000000" w:themeColor="text1"/>
          <w:sz w:val="32"/>
          <w:szCs w:val="32"/>
          <w14:textFill>
            <w14:solidFill>
              <w14:schemeClr w14:val="tx1"/>
            </w14:solidFill>
          </w14:textFill>
        </w:rPr>
        <w:t>全面巩固国家公共文化服务体系示范区创建成果。加快公共文化设施建设。规划建设台州大剧院、台州美术馆等文化地标；健全完善基层公共文化设施网络，建设和合书吧、街道综合文化站等精品工程，提高设施综合使用率和服务水平。加强新时代文明实践中心建设，完善实践所、站、点体系。按照居民住宅区公共文化设施配套建设标准，推进公共文化空间建设。加强县、乡、村广播电视公共服务基础设施布局，推进广电 5G 网络覆盖和应急广播体系建设。创新公共文化服务模式。加快推进公共文化数字化建设，完善“台州文化云”等数字平台，大力开展网上走亲等远程服务。推动公共文化设施免费开放和错时开放，完善“文化订制”精准服务机制，探索“城市书房”“文化驿站”等社区文化服务标准化模式。深化“台州文化年”品牌内涵，举办特色鲜明的“文化四季”活动</w:t>
      </w:r>
      <w:r>
        <w:rPr>
          <w:rFonts w:hint="eastAsia" w:ascii="Times New Roman" w:hAnsi="Times New Roman" w:eastAsia="仿宋_GB2312" w:cs="Times New Roman"/>
          <w:bCs/>
          <w:color w:val="000000" w:themeColor="text1"/>
          <w:sz w:val="32"/>
          <w:szCs w:val="32"/>
          <w14:textFill>
            <w14:solidFill>
              <w14:schemeClr w14:val="tx1"/>
            </w14:solidFill>
          </w14:textFill>
        </w:rPr>
        <w:t>，持续实施台州市文艺名家（名团）展演工程</w:t>
      </w:r>
      <w:r>
        <w:rPr>
          <w:rFonts w:ascii="Times New Roman" w:hAnsi="Times New Roman" w:eastAsia="仿宋_GB2312" w:cs="Times New Roman"/>
          <w:bCs/>
          <w:color w:val="000000" w:themeColor="text1"/>
          <w:sz w:val="32"/>
          <w:szCs w:val="32"/>
          <w14:textFill>
            <w14:solidFill>
              <w14:schemeClr w14:val="tx1"/>
            </w14:solidFill>
          </w14:textFill>
        </w:rPr>
        <w:t>，加大基层优质文化产品和服务供给的基础上，创新公共文化服务社会管理体系，推动基层“送文化”到“孕文化”转变。深入开展全民阅读节、“走读台州”等活动，打造书香台州文化品牌。</w:t>
      </w:r>
    </w:p>
    <w:p>
      <w:pPr>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丰富多元文化消费产品。</w:t>
      </w:r>
      <w:r>
        <w:rPr>
          <w:rFonts w:ascii="Times New Roman" w:hAnsi="Times New Roman" w:eastAsia="仿宋_GB2312" w:cs="Times New Roman"/>
          <w:bCs/>
          <w:color w:val="000000" w:themeColor="text1"/>
          <w:sz w:val="32"/>
          <w:szCs w:val="32"/>
          <w14:textFill>
            <w14:solidFill>
              <w14:schemeClr w14:val="tx1"/>
            </w14:solidFill>
          </w14:textFill>
        </w:rPr>
        <w:t>加大优秀传统文化保护传承和转化利用，加大对天台山佛宗道源、唐诗之路和大陈岛等文化资源数字化转化和开发，打造一批原创IP，扶持一批主题文艺精品创作，开发一批传统文化消费产品。加快推进“文化融消费”，积极培育一批特色文化街区、夜间经济集聚区和文化消费平台，争创国家文化和旅游消费试点城市。完善常态化文化消费促进机制，打造一批与“三立三进三突围”新发展路径相适应的标志性文艺大题材，培育音乐会、歌剧、舞剧、交响乐等文化艺术产品，开发更多适合城乡居民需求的高品质文化产品和服务。全方位、多领域推进文化和旅游的深度融合，创新开发“红色文化+旅游”“非遗文化+旅游” “海洋文化+旅游”“文化演艺+旅游”等特色产品，打造全省文化和旅游融合发展高地。</w:t>
      </w:r>
    </w:p>
    <w:p>
      <w:pPr>
        <w:spacing w:line="600" w:lineRule="exact"/>
        <w:ind w:firstLine="643" w:firstLineChars="200"/>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bCs/>
          <w:color w:val="000000" w:themeColor="text1"/>
          <w:sz w:val="32"/>
          <w:szCs w:val="32"/>
          <w14:textFill>
            <w14:solidFill>
              <w14:schemeClr w14:val="tx1"/>
            </w14:solidFill>
          </w14:textFill>
        </w:rPr>
        <w:t>积极完善公共体育服务。</w:t>
      </w:r>
      <w:r>
        <w:rPr>
          <w:rFonts w:ascii="Times New Roman" w:hAnsi="Times New Roman" w:eastAsia="仿宋_GB2312" w:cs="Times New Roman"/>
          <w:bCs/>
          <w:color w:val="000000" w:themeColor="text1"/>
          <w:sz w:val="32"/>
          <w:szCs w:val="32"/>
          <w14:textFill>
            <w14:solidFill>
              <w14:schemeClr w14:val="tx1"/>
            </w14:solidFill>
          </w14:textFill>
        </w:rPr>
        <w:t>实施体育场馆和基层体育设施大提升行动。加强市本级体育馆及全民健身中心建设，结合城镇化发展统筹规划空间合理、布局完善的体育设施，推进行政村体育设施全覆盖。加强城市绿道、步道骑行道、全民健身中心、体育公园、社区多功能运动场等场地设施建设，落实城市基础设施、新建居住区按标准配套建设群众健身设施，</w:t>
      </w:r>
      <w:r>
        <w:rPr>
          <w:rFonts w:hint="eastAsia" w:ascii="Times New Roman" w:hAnsi="Times New Roman" w:eastAsia="仿宋_GB2312" w:cs="Times New Roman"/>
          <w:bCs/>
          <w:color w:val="000000" w:themeColor="text1"/>
          <w:sz w:val="32"/>
          <w:szCs w:val="32"/>
          <w14:textFill>
            <w14:solidFill>
              <w14:schemeClr w14:val="tx1"/>
            </w14:solidFill>
          </w14:textFill>
        </w:rPr>
        <w:t>积极构建</w:t>
      </w:r>
      <w:r>
        <w:rPr>
          <w:rFonts w:ascii="Times New Roman" w:hAnsi="Times New Roman" w:eastAsia="仿宋_GB2312" w:cs="Times New Roman"/>
          <w:bCs/>
          <w:color w:val="000000" w:themeColor="text1"/>
          <w:sz w:val="32"/>
          <w:szCs w:val="32"/>
          <w14:textFill>
            <w14:solidFill>
              <w14:schemeClr w14:val="tx1"/>
            </w14:solidFill>
          </w14:textFill>
        </w:rPr>
        <w:t>“10分钟健身圈”，到2025年人均体育场地面积达到</w:t>
      </w:r>
      <w:r>
        <w:rPr>
          <w:rFonts w:hint="eastAsia" w:ascii="Times New Roman" w:hAnsi="Times New Roman" w:eastAsia="仿宋_GB2312" w:cs="Times New Roman"/>
          <w:bCs/>
          <w:color w:val="000000" w:themeColor="text1"/>
          <w:sz w:val="32"/>
          <w:szCs w:val="32"/>
          <w14:textFill>
            <w14:solidFill>
              <w14:schemeClr w14:val="tx1"/>
            </w14:solidFill>
          </w14:textFill>
        </w:rPr>
        <w:t>2.85</w:t>
      </w:r>
      <w:r>
        <w:rPr>
          <w:rFonts w:ascii="Times New Roman" w:hAnsi="Times New Roman" w:eastAsia="仿宋_GB2312" w:cs="Times New Roman"/>
          <w:bCs/>
          <w:color w:val="000000" w:themeColor="text1"/>
          <w:sz w:val="32"/>
          <w:szCs w:val="32"/>
          <w14:textFill>
            <w14:solidFill>
              <w14:schemeClr w14:val="tx1"/>
            </w14:solidFill>
          </w14:textFill>
        </w:rPr>
        <w:t>平方米。开展全民健身促进行动，推进体育资源社会共享，并推动所有符合开放条件的公共体育设施和学校体育场地设施100%向社会开放。创新全民健身公共服务模式，全面推进国民体质监测，提供科学全民健身指导服务，鼓励居家健身项目常态化开展。倡导全民健康生活，鼓励积极开展群众性体育活动，到2025年，经常参加体育锻炼人口比例达到全市总人口的**%</w:t>
      </w:r>
      <w:r>
        <w:rPr>
          <w:rFonts w:hint="eastAsia" w:ascii="Times New Roman" w:hAnsi="Times New Roman" w:eastAsia="仿宋_GB2312" w:cs="Times New Roman"/>
          <w:bCs/>
          <w:color w:val="000000" w:themeColor="text1"/>
          <w:sz w:val="32"/>
          <w:szCs w:val="32"/>
          <w14:textFill>
            <w14:solidFill>
              <w14:schemeClr w14:val="tx1"/>
            </w14:solidFill>
          </w14:textFill>
        </w:rPr>
        <w:t>。</w:t>
      </w:r>
    </w:p>
    <w:p>
      <w:pPr>
        <w:spacing w:line="600" w:lineRule="exact"/>
        <w:ind w:firstLine="643" w:firstLineChars="200"/>
        <w:rPr>
          <w:rFonts w:ascii="Times New Roman" w:hAnsi="Times New Roman" w:eastAsia="仿宋_GB2312" w:cs="Times New Roman"/>
          <w:color w:val="000000"/>
          <w:kern w:val="0"/>
          <w:sz w:val="32"/>
          <w:szCs w:val="32"/>
        </w:rPr>
      </w:pPr>
      <w:r>
        <w:rPr>
          <w:rFonts w:ascii="Times New Roman" w:hAnsi="Times New Roman" w:eastAsia="仿宋_GB2312" w:cs="Times New Roman"/>
          <w:b/>
          <w:color w:val="000000" w:themeColor="text1"/>
          <w:sz w:val="32"/>
          <w:szCs w:val="32"/>
          <w14:textFill>
            <w14:solidFill>
              <w14:schemeClr w14:val="tx1"/>
            </w14:solidFill>
          </w14:textFill>
        </w:rPr>
        <w:t>推进体育服务提升发展。</w:t>
      </w:r>
      <w:r>
        <w:rPr>
          <w:rFonts w:ascii="Times New Roman" w:hAnsi="Times New Roman" w:eastAsia="仿宋_GB2312" w:cs="Times New Roman"/>
          <w:bCs/>
          <w:color w:val="000000" w:themeColor="text1"/>
          <w:sz w:val="32"/>
          <w:szCs w:val="32"/>
          <w14:textFill>
            <w14:solidFill>
              <w14:schemeClr w14:val="tx1"/>
            </w14:solidFill>
          </w14:textFill>
        </w:rPr>
        <w:t>积极引进和承办国内、国际重大体育赛事，培育特色品牌赛事，做大做强“一节一会”</w:t>
      </w:r>
      <w:r>
        <w:rPr>
          <w:rFonts w:hint="eastAsia" w:ascii="Times New Roman" w:hAnsi="Times New Roman" w:eastAsia="仿宋_GB2312" w:cs="Times New Roman"/>
          <w:bCs/>
          <w:color w:val="000000" w:themeColor="text1"/>
          <w:sz w:val="32"/>
          <w:szCs w:val="32"/>
          <w14:textFill>
            <w14:solidFill>
              <w14:schemeClr w14:val="tx1"/>
            </w14:solidFill>
          </w14:textFill>
        </w:rPr>
        <w:t>，</w:t>
      </w:r>
      <w:r>
        <w:rPr>
          <w:rFonts w:hint="eastAsia" w:ascii="Times New Roman" w:hAnsi="Times New Roman" w:eastAsia="仿宋_GB2312" w:cs="Times New Roman"/>
          <w:bCs/>
          <w:color w:val="000000" w:themeColor="text1"/>
          <w:kern w:val="2"/>
          <w:sz w:val="32"/>
          <w:szCs w:val="32"/>
          <w14:textFill>
            <w14:solidFill>
              <w14:schemeClr w14:val="tx1"/>
            </w14:solidFill>
          </w14:textFill>
        </w:rPr>
        <w:t>支持“柴古唐斯·括苍越野赛”发展成国际重大体育赛事。</w:t>
      </w:r>
      <w:r>
        <w:rPr>
          <w:rFonts w:ascii="Times New Roman" w:hAnsi="Times New Roman" w:eastAsia="仿宋_GB2312" w:cs="Times New Roman"/>
          <w:bCs/>
          <w:color w:val="000000" w:themeColor="text1"/>
          <w:sz w:val="32"/>
          <w:szCs w:val="32"/>
          <w14:textFill>
            <w14:solidFill>
              <w14:schemeClr w14:val="tx1"/>
            </w14:solidFill>
          </w14:textFill>
        </w:rPr>
        <w:t>积极拓展体育健身、体育观赛、体育旅游等新产品，打造体育公园、体育服务综合体等，丰富节假日体育供给。鼓励社会力量积极发展群体性、社会性体育组织，促进体育组织网络向基层延伸，实现乡镇（街道）体育社会组织全覆盖。推进公共</w:t>
      </w:r>
      <w:r>
        <w:rPr>
          <w:rFonts w:ascii="Times New Roman" w:hAnsi="Times New Roman" w:eastAsia="仿宋_GB2312" w:cs="Times New Roman"/>
          <w:color w:val="000000"/>
          <w:kern w:val="0"/>
          <w:sz w:val="32"/>
          <w:szCs w:val="32"/>
        </w:rPr>
        <w:t>体育场馆数字化建设，实现</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菜单式</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体育公共服务供给。</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color w:val="000000"/>
                <w:sz w:val="28"/>
                <w:szCs w:val="28"/>
              </w:rPr>
              <w:t>专栏8  文体服务提升重大工程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400" w:lineRule="exact"/>
              <w:ind w:firstLine="482" w:firstLineChars="200"/>
              <w:rPr>
                <w:rFonts w:ascii="Times New Roman" w:hAnsi="Times New Roman" w:eastAsia="仿宋_GB2312" w:cs="Times New Roman"/>
                <w:bCs/>
                <w:color w:val="000000"/>
                <w:sz w:val="24"/>
                <w:szCs w:val="24"/>
              </w:rPr>
            </w:pPr>
            <w:r>
              <w:rPr>
                <w:rFonts w:ascii="Times New Roman" w:hAnsi="Times New Roman" w:eastAsia="仿宋_GB2312" w:cs="Times New Roman"/>
                <w:b/>
                <w:bCs/>
                <w:color w:val="000000"/>
                <w:sz w:val="24"/>
                <w:szCs w:val="24"/>
              </w:rPr>
              <w:t>公共文化设施建设工程。</w:t>
            </w:r>
            <w:r>
              <w:rPr>
                <w:rFonts w:ascii="Times New Roman" w:hAnsi="Times New Roman" w:eastAsia="仿宋_GB2312" w:cs="Times New Roman"/>
                <w:bCs/>
                <w:color w:val="000000"/>
                <w:sz w:val="24"/>
                <w:szCs w:val="24"/>
              </w:rPr>
              <w:t>对标市级“五馆一院”、县级“四馆一院”、乡镇（街道）“综合文化站”的配套要求，统筹推进城乡公共文化服务体系一体建设，提供高标准、高规格的群众性文化活动阵地。推进台州大剧院、台州美术馆、新时代文明实践中心和农村文化礼堂等建设。</w:t>
            </w:r>
          </w:p>
          <w:p>
            <w:pPr>
              <w:snapToGrid w:val="0"/>
              <w:spacing w:line="400" w:lineRule="exact"/>
              <w:ind w:firstLine="482" w:firstLineChars="200"/>
              <w:rPr>
                <w:rFonts w:ascii="Times New Roman" w:hAnsi="Times New Roman" w:eastAsia="仿宋_GB2312" w:cs="Times New Roman"/>
                <w:bCs/>
                <w:color w:val="000000"/>
                <w:sz w:val="24"/>
                <w:szCs w:val="24"/>
              </w:rPr>
            </w:pPr>
            <w:r>
              <w:rPr>
                <w:rFonts w:ascii="Times New Roman" w:hAnsi="Times New Roman" w:eastAsia="仿宋_GB2312" w:cs="Times New Roman"/>
                <w:b/>
                <w:bCs/>
                <w:color w:val="000000"/>
                <w:sz w:val="24"/>
                <w:szCs w:val="24"/>
              </w:rPr>
              <w:t>优秀文化保护传承工程。</w:t>
            </w:r>
            <w:r>
              <w:rPr>
                <w:rFonts w:ascii="Times New Roman" w:hAnsi="Times New Roman" w:eastAsia="仿宋_GB2312" w:cs="Times New Roman"/>
                <w:bCs/>
                <w:color w:val="000000"/>
                <w:sz w:val="24"/>
                <w:szCs w:val="24"/>
              </w:rPr>
              <w:t>深入推进“垦荒精神立心”工程，推动大陈岛垦荒精神在更高层面、更广范围传承弘扬。推出一批影视作品、系列丛书等，加快大陈岛红色旅游项目开发建设。持续擦亮“和合圣地”等金名片，推进和合小镇建设，以和合论坛为中心，布局和合乐园等文旅产业项目。推进非遗文创街等项目建设。</w:t>
            </w:r>
          </w:p>
          <w:p>
            <w:pPr>
              <w:snapToGrid w:val="0"/>
              <w:spacing w:line="400" w:lineRule="exact"/>
              <w:ind w:firstLine="482" w:firstLineChars="200"/>
              <w:rPr>
                <w:rFonts w:hint="eastAsia" w:ascii="Times New Roman" w:hAnsi="Times New Roman" w:eastAsia="仿宋_GB2312" w:cs="Times New Roman"/>
                <w:b/>
                <w:color w:val="000000"/>
                <w:kern w:val="0"/>
                <w:sz w:val="24"/>
                <w:szCs w:val="24"/>
              </w:rPr>
            </w:pPr>
            <w:r>
              <w:rPr>
                <w:rFonts w:ascii="Times New Roman" w:hAnsi="Times New Roman" w:eastAsia="仿宋_GB2312" w:cs="Times New Roman"/>
                <w:b/>
                <w:color w:val="000000"/>
                <w:kern w:val="0"/>
                <w:sz w:val="24"/>
                <w:szCs w:val="24"/>
              </w:rPr>
              <w:t>文旅融合平台建设工程。</w:t>
            </w:r>
            <w:r>
              <w:rPr>
                <w:rFonts w:ascii="Times New Roman" w:hAnsi="Times New Roman" w:eastAsia="仿宋_GB2312" w:cs="Times New Roman"/>
                <w:bCs/>
                <w:color w:val="000000"/>
                <w:sz w:val="24"/>
                <w:szCs w:val="24"/>
              </w:rPr>
              <w:t>扎实推进大陈岛“全国红色旅游第一岛”</w:t>
            </w:r>
            <w:r>
              <w:rPr>
                <w:rFonts w:hint="eastAsia" w:ascii="Times New Roman" w:hAnsi="Times New Roman" w:eastAsia="仿宋_GB2312" w:cs="Times New Roman"/>
                <w:bCs/>
                <w:color w:val="000000"/>
                <w:sz w:val="24"/>
                <w:szCs w:val="24"/>
              </w:rPr>
              <w:t>，</w:t>
            </w:r>
            <w:r>
              <w:rPr>
                <w:rFonts w:ascii="Times New Roman" w:hAnsi="Times New Roman" w:eastAsia="仿宋_GB2312" w:cs="Times New Roman"/>
                <w:bCs/>
                <w:color w:val="000000"/>
                <w:sz w:val="24"/>
                <w:szCs w:val="24"/>
              </w:rPr>
              <w:t>创建国家级党性教育和爱国主义教育基地、海峡两岸交流基地、企业员工和工会会员疗养培训基地</w:t>
            </w:r>
            <w:r>
              <w:rPr>
                <w:rFonts w:hint="eastAsia" w:ascii="Times New Roman" w:hAnsi="Times New Roman" w:eastAsia="仿宋_GB2312" w:cs="Times New Roman"/>
                <w:bCs/>
                <w:color w:val="000000"/>
                <w:sz w:val="24"/>
                <w:szCs w:val="24"/>
              </w:rPr>
              <w:t>。扎实</w:t>
            </w:r>
            <w:r>
              <w:rPr>
                <w:rFonts w:ascii="Times New Roman" w:hAnsi="Times New Roman" w:eastAsia="仿宋_GB2312" w:cs="Times New Roman"/>
                <w:bCs/>
                <w:color w:val="000000"/>
                <w:sz w:val="24"/>
                <w:szCs w:val="24"/>
              </w:rPr>
              <w:t>浙东唐诗之路目的地</w:t>
            </w:r>
            <w:r>
              <w:rPr>
                <w:rFonts w:hint="eastAsia" w:ascii="Times New Roman" w:hAnsi="Times New Roman" w:eastAsia="仿宋_GB2312" w:cs="Times New Roman"/>
                <w:bCs/>
                <w:color w:val="000000"/>
                <w:sz w:val="24"/>
                <w:szCs w:val="24"/>
              </w:rPr>
              <w:t>建设，</w:t>
            </w:r>
            <w:r>
              <w:rPr>
                <w:rFonts w:ascii="Times New Roman" w:hAnsi="Times New Roman" w:eastAsia="仿宋_GB2312" w:cs="Times New Roman"/>
                <w:bCs/>
                <w:color w:val="000000"/>
                <w:sz w:val="24"/>
                <w:szCs w:val="24"/>
              </w:rPr>
              <w:t>重点培育天台山、神仙居、台州府城等诗路“珍珠”，</w:t>
            </w:r>
            <w:r>
              <w:rPr>
                <w:rFonts w:hint="eastAsia" w:ascii="Times New Roman" w:hAnsi="Times New Roman" w:eastAsia="仿宋_GB2312" w:cs="Times New Roman"/>
                <w:bCs/>
                <w:color w:val="000000"/>
                <w:sz w:val="24"/>
                <w:szCs w:val="24"/>
              </w:rPr>
              <w:t>打造一批</w:t>
            </w:r>
            <w:r>
              <w:rPr>
                <w:rFonts w:ascii="Times New Roman" w:hAnsi="Times New Roman" w:eastAsia="仿宋_GB2312" w:cs="Times New Roman"/>
                <w:bCs/>
                <w:color w:val="000000"/>
                <w:sz w:val="24"/>
                <w:szCs w:val="24"/>
              </w:rPr>
              <w:t>国内外兼具美誉度和影响力的耀眼明珠，并串“珠”成链</w:t>
            </w:r>
            <w:r>
              <w:rPr>
                <w:rFonts w:hint="eastAsia" w:ascii="Times New Roman" w:hAnsi="Times New Roman" w:eastAsia="仿宋_GB2312" w:cs="Times New Roman"/>
                <w:bCs/>
                <w:color w:val="000000"/>
                <w:sz w:val="24"/>
                <w:szCs w:val="24"/>
              </w:rPr>
              <w:t>，</w:t>
            </w:r>
            <w:r>
              <w:rPr>
                <w:rFonts w:ascii="Times New Roman" w:hAnsi="Times New Roman" w:eastAsia="仿宋_GB2312" w:cs="Times New Roman"/>
                <w:bCs/>
                <w:color w:val="000000"/>
                <w:sz w:val="24"/>
                <w:szCs w:val="24"/>
              </w:rPr>
              <w:t>打造浙东唐诗之路文化深度体验旅游目的地。</w:t>
            </w:r>
            <w:r>
              <w:rPr>
                <w:rFonts w:hint="eastAsia" w:ascii="Times New Roman" w:hAnsi="Times New Roman" w:eastAsia="仿宋_GB2312" w:cs="Times New Roman"/>
                <w:bCs/>
                <w:color w:val="000000"/>
                <w:sz w:val="24"/>
                <w:szCs w:val="24"/>
              </w:rPr>
              <w:t>扎实推进</w:t>
            </w:r>
            <w:r>
              <w:rPr>
                <w:rFonts w:ascii="Times New Roman" w:hAnsi="Times New Roman" w:eastAsia="仿宋_GB2312" w:cs="Times New Roman"/>
                <w:bCs/>
                <w:color w:val="000000"/>
                <w:sz w:val="24"/>
                <w:szCs w:val="24"/>
              </w:rPr>
              <w:t>椒（灵）江生态旅游区</w:t>
            </w:r>
            <w:r>
              <w:rPr>
                <w:rFonts w:hint="eastAsia" w:ascii="Times New Roman" w:hAnsi="Times New Roman" w:eastAsia="仿宋_GB2312" w:cs="Times New Roman"/>
                <w:bCs/>
                <w:color w:val="000000"/>
                <w:sz w:val="24"/>
                <w:szCs w:val="24"/>
              </w:rPr>
              <w:t>，</w:t>
            </w:r>
            <w:r>
              <w:rPr>
                <w:rFonts w:ascii="Times New Roman" w:hAnsi="Times New Roman" w:eastAsia="仿宋_GB2312" w:cs="Times New Roman"/>
                <w:bCs/>
                <w:color w:val="000000"/>
                <w:sz w:val="24"/>
                <w:szCs w:val="24"/>
              </w:rPr>
              <w:t>打造流域旅游品牌</w:t>
            </w:r>
            <w:r>
              <w:rPr>
                <w:rFonts w:hint="eastAsia" w:ascii="Times New Roman" w:hAnsi="Times New Roman" w:eastAsia="仿宋_GB2312" w:cs="Times New Roman"/>
                <w:bCs/>
                <w:color w:val="000000"/>
                <w:sz w:val="24"/>
                <w:szCs w:val="24"/>
              </w:rPr>
              <w:t>，大力支持台州府城文化旅游区创成国家</w:t>
            </w:r>
            <w:r>
              <w:rPr>
                <w:rFonts w:ascii="Times New Roman" w:hAnsi="Times New Roman" w:eastAsia="仿宋_GB2312" w:cs="Times New Roman"/>
                <w:bCs/>
                <w:color w:val="000000"/>
                <w:sz w:val="24"/>
                <w:szCs w:val="24"/>
              </w:rPr>
              <w:t>5A</w:t>
            </w:r>
            <w:r>
              <w:rPr>
                <w:rFonts w:hint="eastAsia" w:ascii="Times New Roman" w:hAnsi="Times New Roman" w:eastAsia="仿宋_GB2312" w:cs="Times New Roman"/>
                <w:bCs/>
                <w:color w:val="000000"/>
                <w:sz w:val="24"/>
                <w:szCs w:val="24"/>
              </w:rPr>
              <w:t>级景区。扎实推进滨海旅游功能区和</w:t>
            </w:r>
            <w:r>
              <w:rPr>
                <w:rFonts w:ascii="Times New Roman" w:hAnsi="Times New Roman" w:eastAsia="仿宋_GB2312" w:cs="Times New Roman"/>
                <w:bCs/>
                <w:color w:val="000000"/>
                <w:sz w:val="24"/>
                <w:szCs w:val="24"/>
              </w:rPr>
              <w:t>大陈、东矶、大鹿、蛇蟠4个海岛公园</w:t>
            </w:r>
            <w:r>
              <w:rPr>
                <w:rFonts w:hint="eastAsia" w:ascii="Times New Roman" w:hAnsi="Times New Roman" w:eastAsia="仿宋_GB2312" w:cs="Times New Roman"/>
                <w:bCs/>
                <w:color w:val="000000"/>
                <w:sz w:val="24"/>
                <w:szCs w:val="24"/>
              </w:rPr>
              <w:t>建设。</w:t>
            </w:r>
          </w:p>
          <w:p>
            <w:pPr>
              <w:snapToGrid w:val="0"/>
              <w:spacing w:line="400" w:lineRule="exact"/>
              <w:ind w:firstLine="482" w:firstLineChars="200"/>
              <w:rPr>
                <w:rFonts w:ascii="Times New Roman" w:hAnsi="Times New Roman" w:eastAsia="仿宋_GB2312" w:cs="Times New Roman"/>
                <w:bCs/>
                <w:color w:val="000000"/>
                <w:sz w:val="24"/>
                <w:szCs w:val="24"/>
              </w:rPr>
            </w:pPr>
            <w:r>
              <w:rPr>
                <w:rFonts w:ascii="Times New Roman" w:hAnsi="Times New Roman" w:eastAsia="仿宋_GB2312" w:cs="Times New Roman"/>
                <w:b/>
                <w:bCs/>
                <w:color w:val="000000"/>
                <w:sz w:val="24"/>
                <w:szCs w:val="24"/>
              </w:rPr>
              <w:t>群众体育“十百千万”工程。</w:t>
            </w:r>
            <w:r>
              <w:rPr>
                <w:rFonts w:ascii="Times New Roman" w:hAnsi="Times New Roman" w:eastAsia="仿宋_GB2312" w:cs="Times New Roman"/>
                <w:bCs/>
                <w:color w:val="000000"/>
                <w:sz w:val="24"/>
                <w:szCs w:val="24"/>
              </w:rPr>
              <w:t>建设十市、县、区全域体育现代化。打造百个社区（街道）公共体育服务现代化示范点，推进全民健身服务的“触手可及”。认定一千名优秀、活跃的星级体育委员，常态化为社区（街道）居民、企业家提供线上、线下健身指导、咨询服务。打造万场次赛事网络体系，塑造高质量赛事目的地城市品牌。</w:t>
            </w:r>
          </w:p>
        </w:tc>
      </w:tr>
    </w:tbl>
    <w:p>
      <w:pPr>
        <w:spacing w:line="600" w:lineRule="exact"/>
        <w:ind w:firstLine="643" w:firstLineChars="200"/>
        <w:outlineLvl w:val="1"/>
        <w:rPr>
          <w:rFonts w:ascii="楷体_GB2312" w:hAnsi="楷体_GB2312" w:eastAsia="楷体_GB2312" w:cs="楷体_GB2312"/>
          <w:b/>
          <w:sz w:val="32"/>
          <w:szCs w:val="32"/>
        </w:rPr>
      </w:pPr>
      <w:bookmarkStart w:id="36" w:name="_Toc66830151"/>
      <w:r>
        <w:rPr>
          <w:rFonts w:ascii="楷体_GB2312" w:hAnsi="楷体_GB2312" w:eastAsia="楷体_GB2312" w:cs="楷体_GB2312"/>
          <w:b/>
          <w:sz w:val="32"/>
          <w:szCs w:val="32"/>
        </w:rPr>
        <w:t>（六）聚焦住有所居，完善宜居生活服务</w:t>
      </w:r>
      <w:bookmarkEnd w:id="36"/>
    </w:p>
    <w:p>
      <w:pPr>
        <w:ind w:firstLine="664" w:firstLineChars="200"/>
        <w:rPr>
          <w:rFonts w:ascii="Times New Roman" w:hAnsi="Times New Roman" w:eastAsia="仿宋_GB2312" w:cs="Times New Roman"/>
          <w:sz w:val="32"/>
          <w:szCs w:val="32"/>
        </w:rPr>
      </w:pPr>
      <w:r>
        <w:rPr>
          <w:rFonts w:ascii="Times New Roman" w:hAnsi="Times New Roman" w:eastAsia="仿宋_GB2312" w:cs="Times New Roman"/>
          <w:spacing w:val="6"/>
          <w:sz w:val="32"/>
          <w:szCs w:val="32"/>
          <w:shd w:val="clear" w:color="auto" w:fill="FFFFFF"/>
        </w:rPr>
        <w:t>坚持房住不炒底线，健全城镇住房保障制度，加大保障性安居工程建设，更好保障住有所居，改善人居环境质量，着力构建舒适便捷的生活服务圈，营造良好的宜居环境。</w:t>
      </w:r>
    </w:p>
    <w:p>
      <w:pPr>
        <w:ind w:firstLine="643" w:firstLineChars="200"/>
        <w:rPr>
          <w:rFonts w:ascii="Times New Roman" w:hAnsi="Times New Roman" w:eastAsia="仿宋_GB2312" w:cs="Times New Roman"/>
          <w:sz w:val="32"/>
          <w:szCs w:val="32"/>
        </w:rPr>
      </w:pPr>
      <w:r>
        <w:rPr>
          <w:rFonts w:hint="eastAsia" w:ascii="Times New Roman" w:hAnsi="Times New Roman" w:eastAsia="仿宋_GB2312" w:cs="Times New Roman"/>
          <w:b/>
          <w:bCs/>
          <w:sz w:val="32"/>
          <w:szCs w:val="32"/>
        </w:rPr>
        <w:t>加强基本住房保障。</w:t>
      </w:r>
      <w:r>
        <w:rPr>
          <w:rFonts w:ascii="Times New Roman" w:hAnsi="Times New Roman" w:eastAsia="仿宋_GB2312" w:cs="Times New Roman"/>
          <w:sz w:val="32"/>
          <w:szCs w:val="32"/>
        </w:rPr>
        <w:t>建立健全城镇住房保障体系，完善实物配租与租赁补贴并举的公共租赁住房保障形式，研究政策性租赁住房的政策制度，分层次解决各类保障对象的住房困难问题。有序推进城镇保障性安居工程建设和房源筹集，继续稳妥实施城镇棚户区改造。加快推进城镇老旧小区改造，重点推进改造2000年底前建成的、群众改造意向强烈的老旧小区。积极拓展融资渠道，多元争取资金支持，有效解决资金缺口。稳步推进农村危旧房改造，加大补助力度。</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持续提升住房条件。</w:t>
      </w:r>
      <w:r>
        <w:rPr>
          <w:rFonts w:ascii="Times New Roman" w:hAnsi="Times New Roman" w:eastAsia="仿宋_GB2312" w:cs="Times New Roman"/>
          <w:sz w:val="32"/>
          <w:szCs w:val="32"/>
        </w:rPr>
        <w:t>加强住房及用地供应管理，保障住宅用地需要，促进市场供需基本平衡，优化住房供应结构，满足合理自住需求，支持改善型住房需求，培育和发展住房租赁市场。推进社区化改造，建设幸福邻里中心，加强托幼、教育、医疗、养老等设施布局建设，打造“三生相宜”的高品质现代社区。全面推广实施未来社区（美好家园）计划，加快建设应用社区智慧服务平台，全方位支撑未来社区九大场景落地，高质量推进未来社区建设，培育建设一批未来社区省级试点。推进老旧社区数字化改造，引导利用现代化识别系统和视频监控、互联网、大数据等信息化手段，提高智能化管理水平，打造一批“智慧住区”。</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营造良好宜居环境。</w:t>
      </w:r>
      <w:r>
        <w:rPr>
          <w:rFonts w:ascii="Times New Roman" w:hAnsi="Times New Roman" w:eastAsia="仿宋_GB2312" w:cs="Times New Roman"/>
          <w:sz w:val="32"/>
          <w:szCs w:val="32"/>
        </w:rPr>
        <w:t>打好碧水保卫战，实施流域生态修复，加快推进污水处理设施建设和提升改造，全面完成全市“污水零直排区”建设。建立空气质量预警预报平台，深化区域大气污染联防联控联治，确保全市环境空气质量持续稳步改善。深化国家土壤污染综合防治先行区建设，开展土壤污染大排查大起底行动。改善海洋生态环境，完善近岸海域水质监测制度，实施美丽海湾建设项目。构建分级分类生活垃圾循环利用体系，全域推进“无废城市”建设。推进社区基础设施绿色化、智能化建设，建立健全社区人居环境建设和整治机制，推进绿道和公园建设，打造美丽台州大花园。</w:t>
      </w:r>
    </w:p>
    <w:p>
      <w:pPr>
        <w:ind w:firstLine="667" w:firstLineChars="200"/>
        <w:rPr>
          <w:rFonts w:ascii="Times New Roman" w:hAnsi="Times New Roman" w:eastAsia="仿宋_GB2312" w:cs="Times New Roman"/>
          <w:sz w:val="32"/>
          <w:szCs w:val="32"/>
        </w:rPr>
      </w:pPr>
      <w:r>
        <w:rPr>
          <w:rFonts w:ascii="Times New Roman" w:hAnsi="Times New Roman" w:eastAsia="仿宋_GB2312" w:cs="Times New Roman"/>
          <w:b/>
          <w:spacing w:val="6"/>
          <w:sz w:val="32"/>
          <w:szCs w:val="32"/>
          <w:shd w:val="clear" w:color="auto" w:fill="FFFFFF"/>
        </w:rPr>
        <w:t>健全公共基础设施网络。</w:t>
      </w:r>
      <w:r>
        <w:rPr>
          <w:rFonts w:ascii="Times New Roman" w:hAnsi="Times New Roman" w:eastAsia="仿宋_GB2312" w:cs="Times New Roman"/>
          <w:spacing w:val="6"/>
          <w:sz w:val="32"/>
          <w:szCs w:val="32"/>
          <w:shd w:val="clear" w:color="auto" w:fill="FFFFFF"/>
        </w:rPr>
        <w:t>优先发展公共交通，进一步推进公交专用道建设，构建公交车辆优先通行网络，促进城乡客运基本公共服务均等化，创建国家“公交都市”。 实施长潭水库生态缓冲带建设试点，深入开展超标饮用水水源治理，完善多水源联合供水体系，加快实施农村饮水安全提升工程和城乡供水一体化进程。推进多元融合高弹性电网建设，打造智能电网和泛在电力物联网，促进源网荷储协调融合，实现全能源互联互通。全面加快推进5G网络建设，优先开展中心城区、交通枢纽、生产基地等重点区域的优质网络建设，推动5G网络向农村延伸，实现普通乡镇及以上区域5G信号全覆盖。</w:t>
      </w:r>
      <w:r>
        <w:rPr>
          <w:rFonts w:ascii="Times New Roman" w:hAnsi="Times New Roman" w:eastAsia="仿宋_GB2312" w:cs="Times New Roman"/>
          <w:sz w:val="32"/>
          <w:szCs w:val="32"/>
        </w:rPr>
        <w:t>推动乡镇邮政服务全域覆盖。</w:t>
      </w:r>
    </w:p>
    <w:p>
      <w:pPr>
        <w:ind w:firstLine="643" w:firstLineChars="200"/>
        <w:rPr>
          <w:rFonts w:ascii="Times New Roman" w:hAnsi="Times New Roman" w:eastAsia="仿宋_GB2312" w:cs="Times New Roman"/>
          <w:spacing w:val="6"/>
          <w:sz w:val="32"/>
          <w:szCs w:val="32"/>
          <w:shd w:val="clear" w:color="auto" w:fill="FFFFFF"/>
        </w:rPr>
      </w:pPr>
      <w:r>
        <w:rPr>
          <w:rFonts w:ascii="Times New Roman" w:hAnsi="Times New Roman" w:eastAsia="仿宋_GB2312" w:cs="Times New Roman"/>
          <w:b/>
          <w:sz w:val="32"/>
          <w:szCs w:val="32"/>
        </w:rPr>
        <w:t>打造便民生活服务圈。</w:t>
      </w:r>
      <w:r>
        <w:rPr>
          <w:rFonts w:ascii="Times New Roman" w:hAnsi="Times New Roman" w:eastAsia="仿宋_GB2312" w:cs="Times New Roman"/>
          <w:spacing w:val="6"/>
          <w:sz w:val="32"/>
          <w:szCs w:val="32"/>
          <w:shd w:val="clear" w:color="auto" w:fill="FFFFFF"/>
        </w:rPr>
        <w:t>优化社区商业网点、公共服务设施的规划布局和业态配置，鼓励企业以连锁经营方式设立餐饮、超市、肉菜店、养老、洗染等大宗化社区服务网点。积极推进家政服务网络建设，鼓励依托大中型服务企业建设家政服务网络中心，提供清洁卫生服务、初级卫生保健、婴幼儿看护、中小学生家庭教育、养老服务、病人看护、护理孕妇和产妇、家务管理、保姆等安全便利的家政服务。继续实施农贸市场提升改造工程，持续推进省级放心农贸市场建设，进一步优化农贸市场网点布局。紧盯“宅经济”，大力发展“网上菜场”“网上超市”“网订店送”等数字生活新服务，推进“智慧商圈”“智慧商街”建设，着力打造“5分钟便利店+10分钟农贸市场+15分钟超市”便民生活服务圈。</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Cs/>
                <w:color w:val="000000" w:themeColor="text1"/>
                <w:sz w:val="32"/>
                <w:szCs w:val="32"/>
                <w14:textFill>
                  <w14:solidFill>
                    <w14:schemeClr w14:val="tx1"/>
                  </w14:solidFill>
                </w14:textFill>
              </w:rPr>
            </w:pPr>
            <w:r>
              <w:rPr>
                <w:rFonts w:ascii="Times New Roman" w:hAnsi="Times New Roman" w:eastAsia="仿宋_GB2312" w:cs="Times New Roman"/>
                <w:b/>
                <w:color w:val="000000"/>
                <w:sz w:val="28"/>
                <w:szCs w:val="28"/>
              </w:rPr>
              <w:t>专栏9  宜居生活服务提升重大工程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400" w:lineRule="exact"/>
              <w:ind w:firstLine="482" w:firstLineChars="200"/>
              <w:rPr>
                <w:rFonts w:ascii="Times New Roman" w:hAnsi="Times New Roman" w:cs="Times New Roman"/>
                <w:sz w:val="28"/>
                <w:szCs w:val="28"/>
              </w:rPr>
            </w:pPr>
            <w:r>
              <w:rPr>
                <w:rFonts w:ascii="Times New Roman" w:hAnsi="Times New Roman" w:eastAsia="仿宋_GB2312" w:cs="Times New Roman"/>
                <w:b/>
                <w:sz w:val="24"/>
                <w:szCs w:val="24"/>
              </w:rPr>
              <w:t>公共住房保障工程。</w:t>
            </w:r>
            <w:r>
              <w:rPr>
                <w:rFonts w:ascii="Times New Roman" w:hAnsi="Times New Roman" w:eastAsia="仿宋_GB2312" w:cs="Times New Roman"/>
                <w:sz w:val="24"/>
                <w:szCs w:val="24"/>
              </w:rPr>
              <w:t>深入推进保障性安居工程建设，完善城镇住房保障体系，稳步扩大受益覆盖面。“十四五”期间全市开工建设各类城镇棚户区改造安置住房0.8万套，</w:t>
            </w:r>
            <w:r>
              <w:rPr>
                <w:rFonts w:hint="eastAsia" w:ascii="Times New Roman" w:hAnsi="Times New Roman" w:eastAsia="仿宋_GB2312" w:cs="Times New Roman"/>
                <w:sz w:val="24"/>
                <w:szCs w:val="24"/>
              </w:rPr>
              <w:t>新增公共租赁住房等各类保障性住房保障对象</w:t>
            </w:r>
            <w:r>
              <w:rPr>
                <w:rFonts w:ascii="Times New Roman" w:hAnsi="Times New Roman" w:eastAsia="仿宋_GB2312" w:cs="Times New Roman"/>
                <w:sz w:val="24"/>
                <w:szCs w:val="24"/>
              </w:rPr>
              <w:t>2500户以上（其中新增公共租赁住房租赁补贴保障对象2000户以上），政府公共租赁住房实物配租和租赁补贴累计保障家庭人数占城镇常住人口数的比例保持在1.2%以上。到2025年，全市城镇住房保障受益覆盖面达25%。</w:t>
            </w:r>
          </w:p>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住房租赁服务与监管信息平台建设工程。</w:t>
            </w:r>
            <w:r>
              <w:rPr>
                <w:rFonts w:ascii="Times New Roman" w:hAnsi="Times New Roman" w:eastAsia="仿宋_GB2312" w:cs="Times New Roman"/>
                <w:sz w:val="24"/>
                <w:szCs w:val="24"/>
              </w:rPr>
              <w:t>搭建住房租赁信息政府服务平台，建立政府服务平台，为租赁市场供需双方提供高效、准确、便捷的信息服务，提升住房租赁市场监管服务水平，为广大市民和企业提供智慧化、人性化的住房租赁服务，实现房源发布、房源核验、合同网签、备案登记、信用管理、租房备案证明、居住证明、补贴发放的一站式服务。</w:t>
            </w:r>
          </w:p>
          <w:p>
            <w:pPr>
              <w:spacing w:line="4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“未来社区+未来乡村（村庄）”联动发展示范区。</w:t>
            </w:r>
            <w:r>
              <w:rPr>
                <w:rFonts w:ascii="Times New Roman" w:hAnsi="Times New Roman" w:eastAsia="仿宋_GB2312" w:cs="Times New Roman"/>
                <w:spacing w:val="6"/>
                <w:sz w:val="24"/>
                <w:szCs w:val="24"/>
                <w:shd w:val="clear" w:color="auto" w:fill="FFFFFF"/>
              </w:rPr>
              <w:t>加快推进椒江心海、台州湾新区沙北、黄岩东浦、路桥凤栖、临海六角井、玉环东风、仙居黄坦树等未来社区试点建设，以未来社区理念统筹推进老旧小区改造和新建小区建设；以新时代美丽乡村建设为依托推进未来乡村建设，每年创建市级美丽乡村精品村20个、新时代美丽乡村精品示范区10个。以未来社区和美丽乡村建设为抓手，探索创建“未来社区+未来乡村（村庄）”联动发展示范区，实现产城互动、乡村振兴、全域美丽、整体智治。</w:t>
            </w:r>
          </w:p>
          <w:p>
            <w:pPr>
              <w:spacing w:line="400" w:lineRule="exact"/>
              <w:ind w:firstLine="482"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z w:val="24"/>
                <w:szCs w:val="24"/>
              </w:rPr>
              <w:t>环保设施建设工程。</w:t>
            </w:r>
            <w:r>
              <w:rPr>
                <w:rFonts w:ascii="Times New Roman" w:hAnsi="Times New Roman" w:eastAsia="仿宋_GB2312" w:cs="Times New Roman"/>
                <w:spacing w:val="6"/>
                <w:sz w:val="24"/>
                <w:szCs w:val="24"/>
                <w:shd w:val="clear" w:color="auto" w:fill="FFFFFF"/>
              </w:rPr>
              <w:t>加大污水处理设施及固废处置设施建设力度，推进路桥区滨海污水处理厂三期工程，临海市城市污水厂二期扩建工程、杜桥污水处理厂扩建工程、黄岩垃圾焚烧厂、台州市区有机物循环利用中心、厨余垃圾资源化综合利用和无害化处理、台州市危险废物处置中心等项目建设。到2025年，实现污水全收集、全处理，危废、固废应收尽收、应处尽处。</w:t>
            </w:r>
          </w:p>
          <w:p>
            <w:pPr>
              <w:spacing w:line="400" w:lineRule="exact"/>
              <w:ind w:firstLine="506" w:firstLineChars="200"/>
              <w:rPr>
                <w:rFonts w:ascii="Times New Roman" w:hAnsi="Times New Roman" w:eastAsia="仿宋_GB2312" w:cs="Times New Roman"/>
                <w:spacing w:val="6"/>
                <w:sz w:val="24"/>
                <w:szCs w:val="24"/>
                <w:shd w:val="clear" w:color="auto" w:fill="FFFFFF"/>
              </w:rPr>
            </w:pPr>
            <w:r>
              <w:rPr>
                <w:rFonts w:ascii="Times New Roman" w:hAnsi="Times New Roman" w:eastAsia="仿宋_GB2312" w:cs="Times New Roman"/>
                <w:b/>
                <w:spacing w:val="6"/>
                <w:sz w:val="24"/>
                <w:szCs w:val="24"/>
                <w:shd w:val="clear" w:color="auto" w:fill="FFFFFF"/>
              </w:rPr>
              <w:t>便民生活数字化赋能行动。</w:t>
            </w:r>
            <w:r>
              <w:rPr>
                <w:rFonts w:ascii="Times New Roman" w:hAnsi="Times New Roman" w:eastAsia="仿宋_GB2312" w:cs="Times New Roman"/>
                <w:spacing w:val="6"/>
                <w:sz w:val="24"/>
                <w:szCs w:val="24"/>
                <w:shd w:val="clear" w:color="auto" w:fill="FFFFFF"/>
              </w:rPr>
              <w:t>全面启动“数字生活新服务”工程，推进网上菜场、网上餐厅、网上超市、网上家政、网上邮政（快递）、网上市场和网上培训建设。加强家政服务智慧平台建设，提升“浙家政”综合服务应用，全省域推广使用家</w:t>
            </w:r>
            <w:r>
              <w:rPr>
                <w:rFonts w:ascii="Times New Roman" w:hAnsi="Times New Roman" w:eastAsia="仿宋_GB2312" w:cs="Times New Roman"/>
                <w:color w:val="000000"/>
                <w:kern w:val="0"/>
                <w:sz w:val="24"/>
                <w:szCs w:val="24"/>
              </w:rPr>
              <w:t>政“安心码”。</w:t>
            </w:r>
          </w:p>
        </w:tc>
      </w:tr>
    </w:tbl>
    <w:p>
      <w:pPr>
        <w:spacing w:line="600" w:lineRule="exact"/>
        <w:ind w:firstLine="643" w:firstLineChars="200"/>
        <w:outlineLvl w:val="1"/>
        <w:rPr>
          <w:rFonts w:ascii="楷体_GB2312" w:hAnsi="楷体_GB2312" w:eastAsia="楷体_GB2312" w:cs="楷体_GB2312"/>
          <w:b/>
          <w:sz w:val="32"/>
          <w:szCs w:val="32"/>
        </w:rPr>
      </w:pPr>
      <w:bookmarkStart w:id="37" w:name="_Toc66830152"/>
      <w:r>
        <w:rPr>
          <w:rFonts w:ascii="楷体_GB2312" w:hAnsi="楷体_GB2312" w:eastAsia="楷体_GB2312" w:cs="楷体_GB2312"/>
          <w:b/>
          <w:sz w:val="32"/>
          <w:szCs w:val="32"/>
        </w:rPr>
        <w:t>（七）聚焦老有所养，完善幸福养老服务</w:t>
      </w:r>
      <w:bookmarkEnd w:id="37"/>
    </w:p>
    <w:p>
      <w:pPr>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积极应对人口老龄化，加快全市养老服务体系建设，完善以居家为基础、社区为依托、机构为补充、医养结合的养老服务格局，进一步优化基本养老服务供给，建设老年友好型社会。</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提高养老保障水平。</w:t>
      </w:r>
      <w:r>
        <w:rPr>
          <w:rFonts w:ascii="Times New Roman" w:hAnsi="Times New Roman" w:eastAsia="仿宋_GB2312" w:cs="Times New Roman"/>
          <w:sz w:val="32"/>
          <w:szCs w:val="32"/>
        </w:rPr>
        <w:t>完善城乡居民养老保险制度，健全社会统筹与个人账户相结合的职工基本养老保险制度和个人账户制度。落实国家政策，积极做好职工基础养老金全国统筹和省级统收统支。积极发展企业年金、职业年金以及个人储蓄性养老保险和商业保险，构建多层次的养老保障体系。建立覆盖全体参保人员的基本养老保险待遇合理调整机制，逐步提高退休人员基本养老金和居民基础养老金标准。规范完善被征地农民参加基本养老保险政策，推进被征地农民养老保险政策落实。完善养老保险转移接续政策，建立更加便捷的养老保险转移接续机制。加强社保基金监管运营，确保基金保值增值。</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提升公共养老服务能力。</w:t>
      </w:r>
      <w:r>
        <w:rPr>
          <w:rFonts w:ascii="Times New Roman" w:hAnsi="Times New Roman" w:eastAsia="仿宋_GB2312" w:cs="Times New Roman"/>
          <w:sz w:val="32"/>
          <w:szCs w:val="32"/>
        </w:rPr>
        <w:t>推进养老服务设施布局建设，加快台州市社会福利院工程建设，鼓励有条件的县（市、区）建设社会福利中心（福利院），推进乡镇（街道）敬老院新建及改扩建，确保每个市（县）至少建有1家公办养老院。新建一批以护理型为主的养老机构，突出养老机构的生活照料、康复护理及助医服务功能，到2025年，力争护理型床位占机构床位的</w:t>
      </w:r>
      <w:r>
        <w:rPr>
          <w:rFonts w:hint="eastAsia" w:ascii="Times New Roman" w:hAnsi="Times New Roman" w:eastAsia="仿宋_GB2312" w:cs="Times New Roman"/>
          <w:sz w:val="32"/>
          <w:szCs w:val="32"/>
        </w:rPr>
        <w:t>60</w:t>
      </w:r>
      <w:r>
        <w:rPr>
          <w:rFonts w:ascii="Times New Roman" w:hAnsi="Times New Roman" w:eastAsia="仿宋_GB2312" w:cs="Times New Roman"/>
          <w:sz w:val="32"/>
          <w:szCs w:val="32"/>
        </w:rPr>
        <w:t>%以上。深化全国居家和社区养老服务试点改革成果落地，实现乡镇（街道）居家养老服务中心全覆盖，持续创新“家院互融”社区养老模式，</w:t>
      </w:r>
      <w:r>
        <w:rPr>
          <w:rFonts w:ascii="Times New Roman" w:hAnsi="Times New Roman" w:eastAsia="仿宋" w:cs="Times New Roman"/>
          <w:bCs/>
          <w:sz w:val="32"/>
          <w:szCs w:val="32"/>
        </w:rPr>
        <w:t>探索</w:t>
      </w:r>
      <w:r>
        <w:rPr>
          <w:rFonts w:ascii="Times New Roman" w:hAnsi="Times New Roman" w:eastAsia="仿宋_GB2312" w:cs="Times New Roman"/>
          <w:sz w:val="32"/>
          <w:szCs w:val="32"/>
        </w:rPr>
        <w:t>打造嵌入式“小微机构”，推动居家、社区、机构养老融合发展</w:t>
      </w:r>
      <w:r>
        <w:rPr>
          <w:rFonts w:ascii="Times New Roman" w:hAnsi="Times New Roman" w:eastAsia="仿宋" w:cs="Times New Roman"/>
          <w:bCs/>
          <w:sz w:val="32"/>
          <w:szCs w:val="32"/>
        </w:rPr>
        <w:t>。</w:t>
      </w:r>
      <w:r>
        <w:rPr>
          <w:rFonts w:ascii="Times New Roman" w:hAnsi="Times New Roman" w:eastAsia="仿宋_GB2312" w:cs="Times New Roman"/>
          <w:sz w:val="32"/>
          <w:szCs w:val="32"/>
        </w:rPr>
        <w:t>完善城乡老年食堂建设和社区助餐服务，实现县（市、区）老年活动中心或场所全覆盖、乡镇（街道）居家养老服务中心全覆盖。持续推进敬老院改造计划，加强城郊地区、山区等地老年人的基本养老服务保障。</w:t>
      </w:r>
    </w:p>
    <w:p>
      <w:pPr>
        <w:widowControl/>
        <w:ind w:firstLine="643" w:firstLineChars="200"/>
        <w:jc w:val="left"/>
        <w:rPr>
          <w:rFonts w:ascii="Times New Roman" w:hAnsi="Times New Roman" w:eastAsia="仿宋_GB2312" w:cs="Times New Roman"/>
          <w:color w:val="000000"/>
          <w:kern w:val="0"/>
          <w:sz w:val="32"/>
          <w:szCs w:val="32"/>
        </w:rPr>
      </w:pPr>
      <w:r>
        <w:rPr>
          <w:rFonts w:ascii="Times New Roman" w:hAnsi="Times New Roman" w:eastAsia="仿宋_GB2312" w:cs="Times New Roman"/>
          <w:b/>
          <w:sz w:val="32"/>
          <w:szCs w:val="32"/>
        </w:rPr>
        <w:t>扩大优质养老服务供给。</w:t>
      </w:r>
      <w:r>
        <w:rPr>
          <w:rFonts w:ascii="Times New Roman" w:hAnsi="Times New Roman" w:eastAsia="仿宋_GB2312" w:cs="Times New Roman"/>
          <w:sz w:val="32"/>
          <w:szCs w:val="32"/>
        </w:rPr>
        <w:t>推进公办养老院综合改革，大力推行公建民营、民办公助、政府购买服务、特许经营等方式，鼓励开展连锁化经营。统筹整合康养资源，</w:t>
      </w:r>
      <w:r>
        <w:rPr>
          <w:rFonts w:ascii="Times New Roman" w:hAnsi="Times New Roman" w:eastAsia="仿宋_GB2312" w:cs="Times New Roman"/>
          <w:color w:val="000000"/>
          <w:kern w:val="0"/>
          <w:sz w:val="32"/>
          <w:szCs w:val="32"/>
        </w:rPr>
        <w:t>推进医养结合，构建健康教育、预防保健、疾病诊治、康复护理、长期照护等覆盖城乡、综合连续的老年健康服务体系。开展康养联合体建设试点，培育康养联合体</w:t>
      </w:r>
      <w:r>
        <w:rPr>
          <w:rFonts w:ascii="Times New Roman" w:hAnsi="Times New Roman" w:eastAsia="宋体" w:cs="Times New Roman"/>
          <w:color w:val="000000"/>
          <w:kern w:val="0"/>
          <w:sz w:val="32"/>
          <w:szCs w:val="32"/>
        </w:rPr>
        <w:t>100</w:t>
      </w:r>
      <w:r>
        <w:rPr>
          <w:rFonts w:ascii="Times New Roman" w:hAnsi="Times New Roman" w:eastAsia="仿宋_GB2312" w:cs="Times New Roman"/>
          <w:color w:val="000000"/>
          <w:kern w:val="0"/>
          <w:sz w:val="32"/>
          <w:szCs w:val="32"/>
        </w:rPr>
        <w:t>个。</w:t>
      </w:r>
      <w:r>
        <w:rPr>
          <w:rFonts w:ascii="Times New Roman" w:hAnsi="Times New Roman" w:eastAsia="仿宋_GB2312" w:cs="Times New Roman"/>
          <w:sz w:val="32"/>
          <w:szCs w:val="32"/>
        </w:rPr>
        <w:t>加快发展民办养老机构，重点发展一批日托型、疗养型养老机构，加快推进黄岩红豆杉颐养苑养老院、路桥区台地养生园等一批高端项目建设。</w:t>
      </w:r>
      <w:r>
        <w:rPr>
          <w:rFonts w:ascii="Times New Roman" w:hAnsi="Times New Roman" w:eastAsia="仿宋_GB2312" w:cs="Times New Roman"/>
          <w:color w:val="000000"/>
          <w:kern w:val="0"/>
          <w:sz w:val="32"/>
          <w:szCs w:val="32"/>
        </w:rPr>
        <w:t>发展互助性养老服务，推广</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老年公寓</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养老服务</w:t>
      </w:r>
      <w:r>
        <w:rPr>
          <w:rFonts w:ascii="Times New Roman" w:hAnsi="Times New Roman" w:eastAsia="宋体" w:cs="Times New Roman"/>
          <w:color w:val="000000"/>
          <w:kern w:val="0"/>
          <w:sz w:val="32"/>
          <w:szCs w:val="32"/>
        </w:rPr>
        <w:t>” “</w:t>
      </w:r>
      <w:r>
        <w:rPr>
          <w:rFonts w:ascii="Times New Roman" w:hAnsi="Times New Roman" w:eastAsia="仿宋_GB2312" w:cs="Times New Roman"/>
          <w:color w:val="000000"/>
          <w:kern w:val="0"/>
          <w:sz w:val="32"/>
          <w:szCs w:val="32"/>
        </w:rPr>
        <w:t>物业服务</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养老服务</w:t>
      </w:r>
      <w:r>
        <w:rPr>
          <w:rFonts w:ascii="Times New Roman" w:hAnsi="Times New Roman" w:eastAsia="宋体" w:cs="Times New Roman"/>
          <w:color w:val="000000"/>
          <w:kern w:val="0"/>
          <w:sz w:val="32"/>
          <w:szCs w:val="32"/>
        </w:rPr>
        <w:t>”</w:t>
      </w:r>
      <w:r>
        <w:rPr>
          <w:rFonts w:ascii="Times New Roman" w:hAnsi="Times New Roman" w:eastAsia="仿宋_GB2312" w:cs="Times New Roman"/>
          <w:color w:val="000000"/>
          <w:kern w:val="0"/>
          <w:sz w:val="32"/>
          <w:szCs w:val="32"/>
        </w:rPr>
        <w:t>等模式，</w:t>
      </w:r>
      <w:r>
        <w:rPr>
          <w:rFonts w:ascii="Times New Roman" w:hAnsi="Times New Roman" w:eastAsia="仿宋_GB2312" w:cs="Times New Roman"/>
          <w:sz w:val="32"/>
          <w:szCs w:val="32"/>
        </w:rPr>
        <w:t>探索“志愿型”“储蓄型”互助养老模式。加强异地养老机构互助合作，开展异地养老、候鸟式养老等服务。</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大力推广智慧养老。</w:t>
      </w:r>
      <w:r>
        <w:rPr>
          <w:rFonts w:ascii="Times New Roman" w:hAnsi="Times New Roman" w:eastAsia="仿宋_GB2312" w:cs="Times New Roman"/>
          <w:sz w:val="32"/>
          <w:szCs w:val="32"/>
        </w:rPr>
        <w:t>充分发挥市级“智慧养老”服务和监管平台的作用，构建养老服务数据算法模型，探索迭代升级的“互联网+养老”模式。深化对接“浙里养”智慧服务平台，为各级各类用户提供便捷的养老政务服务、公共服务、公益服务和链接市场服务。大力推广智慧居家养老服务模式，推进“互联网+社区居家养老”，通过养老服务专线、手机APP定制服务菜单，为居家老人提供线上线下服务。率先出台智慧养老院建设与运行标准，积极应用VR探视、远程看护、健康咨询、安全监控等物联网技术，以</w:t>
      </w:r>
      <w:r>
        <w:rPr>
          <w:rFonts w:ascii="Times New Roman" w:hAnsi="Times New Roman" w:eastAsia="仿宋_GB2312" w:cs="Times New Roman"/>
          <w:bCs/>
          <w:sz w:val="32"/>
          <w:szCs w:val="32"/>
        </w:rPr>
        <w:t>数字技术赋能养老为导向，率先探索打造智慧养老院。</w:t>
      </w:r>
      <w:r>
        <w:rPr>
          <w:rFonts w:ascii="Times New Roman" w:hAnsi="Times New Roman" w:eastAsia="仿宋_GB2312" w:cs="Times New Roman"/>
          <w:sz w:val="32"/>
          <w:szCs w:val="32"/>
        </w:rPr>
        <w:t>探索发展虚拟养老院。</w:t>
      </w:r>
    </w:p>
    <w:p>
      <w:pPr>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推进老年宜居环境建设。</w:t>
      </w:r>
      <w:r>
        <w:rPr>
          <w:rFonts w:ascii="Times New Roman" w:hAnsi="Times New Roman" w:eastAsia="仿宋_GB2312" w:cs="Times New Roman"/>
          <w:sz w:val="32"/>
          <w:szCs w:val="32"/>
        </w:rPr>
        <w:t>探索建立失能失智老年人长期照护政策。加快实施长期护理保险制度试点，鼓励发展长期护理商业保险产品。加强对适老环境建设总体规划，推进公共设施和家庭适老化建设与改造，新建城市道路、公共场所和涉老设施场所无障碍化率达100%。大力发展养老产业和老年用品，不断丰富养老服务业态，促进老年消费市场的发展和繁荣。大力发展老年教育，扎实开展群众性老年文化活动和老年人体育赛事活动，</w:t>
      </w:r>
      <w:r>
        <w:rPr>
          <w:rFonts w:ascii="Times New Roman" w:hAnsi="Times New Roman" w:eastAsia="仿宋_GB2312" w:cs="Times New Roman"/>
          <w:bCs/>
          <w:sz w:val="32"/>
          <w:szCs w:val="32"/>
        </w:rPr>
        <w:t>丰富老年人群精神文化生活</w:t>
      </w:r>
      <w:r>
        <w:rPr>
          <w:rFonts w:ascii="Times New Roman" w:hAnsi="Times New Roman" w:eastAsia="仿宋_GB2312" w:cs="Times New Roman"/>
          <w:sz w:val="32"/>
          <w:szCs w:val="32"/>
        </w:rPr>
        <w:t>。推进养老服务队伍建设，加强老年康复医师、康复治疗师与康复辅助器具配置人才培养。</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Cs/>
                <w:color w:val="000000" w:themeColor="text1"/>
                <w:sz w:val="28"/>
                <w:szCs w:val="28"/>
                <w14:textFill>
                  <w14:solidFill>
                    <w14:schemeClr w14:val="tx1"/>
                  </w14:solidFill>
                </w14:textFill>
              </w:rPr>
            </w:pPr>
            <w:r>
              <w:rPr>
                <w:rFonts w:ascii="Times New Roman" w:hAnsi="Times New Roman" w:eastAsia="仿宋_GB2312" w:cs="Times New Roman"/>
                <w:b/>
                <w:color w:val="000000"/>
                <w:sz w:val="28"/>
                <w:szCs w:val="28"/>
              </w:rPr>
              <w:t>专栏10  幸福养老服务提升重大工程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全民参保工程。</w:t>
            </w:r>
            <w:r>
              <w:rPr>
                <w:rFonts w:ascii="Times New Roman" w:hAnsi="Times New Roman" w:eastAsia="仿宋_GB2312" w:cs="Times New Roman"/>
                <w:sz w:val="24"/>
                <w:szCs w:val="24"/>
              </w:rPr>
              <w:t>继续实施全民参保计划，推动新业态从业人员和灵活就业人员长期持续参保，促进非公有制企业及其职工全员参保，实现适龄人员应保尽保，进一步推动扩面征缴，到2025年底基本养老保险法定人员覆盖率达到</w:t>
            </w:r>
            <w:r>
              <w:rPr>
                <w:rFonts w:hint="eastAsia" w:ascii="Times New Roman" w:hAnsi="Times New Roman" w:eastAsia="仿宋_GB2312" w:cs="Times New Roman"/>
                <w:sz w:val="24"/>
                <w:szCs w:val="24"/>
              </w:rPr>
              <w:t>98</w:t>
            </w:r>
            <w:r>
              <w:rPr>
                <w:rFonts w:ascii="Times New Roman" w:hAnsi="Times New Roman" w:eastAsia="仿宋_GB2312" w:cs="Times New Roman"/>
                <w:sz w:val="24"/>
                <w:szCs w:val="24"/>
              </w:rPr>
              <w:t>%以上。</w:t>
            </w:r>
          </w:p>
          <w:p>
            <w:pPr>
              <w:pStyle w:val="11"/>
              <w:shd w:val="clear" w:color="auto" w:fill="FFFFFF" w:themeFill="background1"/>
              <w:snapToGrid w:val="0"/>
              <w:spacing w:before="0" w:beforeAutospacing="0" w:after="0" w:afterAutospacing="0" w:line="400" w:lineRule="exact"/>
              <w:ind w:firstLine="482" w:firstLineChars="200"/>
              <w:jc w:val="both"/>
              <w:rPr>
                <w:rFonts w:ascii="Times New Roman" w:hAnsi="Times New Roman" w:eastAsia="仿宋_GB2312" w:cs="Times New Roman"/>
                <w:b/>
              </w:rPr>
            </w:pPr>
            <w:r>
              <w:rPr>
                <w:rFonts w:ascii="Times New Roman" w:hAnsi="Times New Roman" w:eastAsia="仿宋_GB2312" w:cs="Times New Roman"/>
                <w:b/>
              </w:rPr>
              <w:t>幸福养老“四大行动”工程。</w:t>
            </w:r>
            <w:r>
              <w:rPr>
                <w:rFonts w:ascii="Times New Roman" w:hAnsi="Times New Roman" w:eastAsia="仿宋_GB2312" w:cs="Times New Roman"/>
              </w:rPr>
              <w:t>实施“上门探访”行动，探索居家社区探访制度，重点关注独居、空巢、失能、失智等特殊困难老年人。实施家庭适老化改造行动，创设便捷老年人出行的公共环境。实施助餐网点及助餐配餐服务行动，增强配送餐服务力量，对经济困难且失能、高龄孤寡的老人开展订餐配送服务。实施家庭照护能力提升行动，鼓励成年子女与老年父母就近居住或共同生活，探索子女照料住院父母的陪护假制度。</w:t>
            </w:r>
          </w:p>
          <w:p>
            <w:pPr>
              <w:pStyle w:val="11"/>
              <w:shd w:val="clear" w:color="auto" w:fill="FFFFFF" w:themeFill="background1"/>
              <w:snapToGrid w:val="0"/>
              <w:spacing w:before="0" w:beforeAutospacing="0" w:after="0" w:afterAutospacing="0" w:line="400" w:lineRule="exact"/>
              <w:ind w:firstLine="482" w:firstLineChars="200"/>
              <w:jc w:val="both"/>
              <w:rPr>
                <w:rFonts w:ascii="Times New Roman" w:hAnsi="Times New Roman" w:cs="Times New Roman"/>
                <w:b/>
              </w:rPr>
            </w:pPr>
            <w:r>
              <w:rPr>
                <w:rFonts w:ascii="Times New Roman" w:hAnsi="Times New Roman" w:eastAsia="仿宋_GB2312" w:cs="Times New Roman"/>
                <w:b/>
              </w:rPr>
              <w:t>多元养老融合机制拓展工程。</w:t>
            </w:r>
            <w:r>
              <w:rPr>
                <w:rFonts w:ascii="Times New Roman" w:hAnsi="Times New Roman" w:eastAsia="仿宋_GB2312" w:cs="Times New Roman"/>
              </w:rPr>
              <w:t>拓展农村互助养老机制，每个城乡社区至少培育1个农村互助养老组织，推进农村“时间银行”机制。拓展康养联合体进社区机制，每个康养联合体每年至少6次进社区开展服务。拓展政府购买养老服务机制，着重强化对特殊困难老人的生活照料、陪医陪伴、康复护理、家庭支持服务、社会工作与心理疏导等方面的政府购买服务。拓展社区养老服务人才供给机制，强化社会化养老护理员专业技能。</w:t>
            </w:r>
          </w:p>
        </w:tc>
      </w:tr>
    </w:tbl>
    <w:p>
      <w:pPr>
        <w:spacing w:line="600" w:lineRule="exact"/>
        <w:ind w:firstLine="643" w:firstLineChars="200"/>
        <w:outlineLvl w:val="1"/>
        <w:rPr>
          <w:rFonts w:ascii="楷体_GB2312" w:hAnsi="楷体_GB2312" w:eastAsia="楷体_GB2312" w:cs="楷体_GB2312"/>
          <w:b/>
          <w:sz w:val="32"/>
          <w:szCs w:val="32"/>
        </w:rPr>
      </w:pPr>
      <w:bookmarkStart w:id="38" w:name="_Toc66830153"/>
      <w:r>
        <w:rPr>
          <w:rFonts w:ascii="楷体_GB2312" w:hAnsi="楷体_GB2312" w:eastAsia="楷体_GB2312" w:cs="楷体_GB2312"/>
          <w:b/>
          <w:sz w:val="32"/>
          <w:szCs w:val="32"/>
        </w:rPr>
        <w:t>（八）聚焦弱有所扶，完善兜底保障服务</w:t>
      </w:r>
      <w:bookmarkEnd w:id="38"/>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以保障和改善民生为出发点，统筹社会救助、社会福利、优抚安置和社会事务，建立更加公平可持续的社会保障体系，不断提高服务标准和能力，使广大群众共享便利、高效、优质的社会保障服务。</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完善社会救助体系。</w:t>
      </w:r>
      <w:r>
        <w:rPr>
          <w:rFonts w:ascii="Times New Roman" w:hAnsi="Times New Roman" w:eastAsia="仿宋_GB2312" w:cs="Times New Roman"/>
          <w:sz w:val="32"/>
          <w:szCs w:val="32"/>
        </w:rPr>
        <w:t>积极构建精准救助协同体系，统筹推进低保、特困、受灾、临时救助等8项基本救助。健全最低生活保障标准调整机制，稳步提高低保标准，到2025年全市最低生活保障年标准达到</w:t>
      </w:r>
      <w:r>
        <w:rPr>
          <w:rFonts w:hint="eastAsia" w:ascii="Times New Roman" w:hAnsi="Times New Roman" w:eastAsia="仿宋_GB2312" w:cs="Times New Roman"/>
          <w:sz w:val="32"/>
          <w:szCs w:val="32"/>
        </w:rPr>
        <w:t>14000</w:t>
      </w:r>
      <w:r>
        <w:rPr>
          <w:rFonts w:ascii="Times New Roman" w:hAnsi="Times New Roman" w:eastAsia="仿宋_GB2312" w:cs="Times New Roman"/>
          <w:sz w:val="32"/>
          <w:szCs w:val="32"/>
        </w:rPr>
        <w:t>元以上。扩大救助人群范围，鼓励有条件的地方探索救助对象由户籍人口向常住人口拓展。加强困难群体帮扶救助力度，实施差别化救助，着重加大对农民工、残疾人、流浪乞讨人员、流浪未成年人的救助和保护力度，特困人员救助供养标准达到当地低保标准1.3倍以上。拓展帮扶内容，建立教育、医疗、就业、生活、住房等全方位、立体化、长效性救助体系。大力发展慈善事业，开展以扶贫济困为重点的慈善活动，推进慈善基地和基层慈善组织建设。</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提升社会福利水平。</w:t>
      </w:r>
      <w:r>
        <w:rPr>
          <w:rFonts w:ascii="Times New Roman" w:hAnsi="Times New Roman" w:eastAsia="仿宋_GB2312" w:cs="Times New Roman"/>
          <w:sz w:val="32"/>
          <w:szCs w:val="32"/>
        </w:rPr>
        <w:t>大力推进社会福利社会化，加快发展以助残、济困为重点的社会福利事业。支持残疾人事业发展，加大残疾人基本生活和就业保障，加强残疾人康复和托养服务，打造“台州版”残疾人之家。加强“五保”、“三无”人群的生活保障服务，城镇“三无”集中供养率达到**%，农村“五保”集中供养率达到**%。</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加大优抚安置力度。</w:t>
      </w:r>
      <w:r>
        <w:rPr>
          <w:rFonts w:ascii="Times New Roman" w:hAnsi="Times New Roman" w:eastAsia="仿宋_GB2312" w:cs="Times New Roman"/>
          <w:sz w:val="32"/>
          <w:szCs w:val="32"/>
        </w:rPr>
        <w:t>落实国家和地方各项优抚安置政策，提升对复员退伍军人、军休人员优抚安置和服务保障能力。完善优抚政策和优抚对象抚恤优待标准动态调整机制，保障优抚安置对象基本生活和合法权益。深化“全国示范型退役军人服务站”“新时代枫桥式退役军人服务站”创建，实现“达标型”全覆盖。</w:t>
      </w:r>
      <w:r>
        <w:rPr>
          <w:rFonts w:ascii="Times New Roman" w:hAnsi="Times New Roman" w:eastAsia="仿宋_GB2312" w:cs="Times New Roman"/>
          <w:color w:val="000000"/>
          <w:kern w:val="0"/>
          <w:sz w:val="32"/>
          <w:szCs w:val="32"/>
        </w:rPr>
        <w:t>推</w:t>
      </w:r>
      <w:r>
        <w:rPr>
          <w:rFonts w:ascii="Times New Roman" w:hAnsi="Times New Roman" w:eastAsia="仿宋_GB2312" w:cs="Times New Roman"/>
          <w:sz w:val="32"/>
          <w:szCs w:val="32"/>
        </w:rPr>
        <w:t>进“退役军人全生命周期服务管理工作”改革，提升集成服务功能。提升退役军人就业安置质量，推进创建退役军人就业创业基地，搭建孵化器、众创空间，推出惠军金融产品。</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加强社会事务管理。</w:t>
      </w:r>
      <w:r>
        <w:rPr>
          <w:rFonts w:ascii="Times New Roman" w:hAnsi="Times New Roman" w:eastAsia="仿宋_GB2312" w:cs="Times New Roman"/>
          <w:sz w:val="32"/>
          <w:szCs w:val="32"/>
        </w:rPr>
        <w:t>落实全市绿色殡葬建设规划，加快树葬公墓林等节地生态公益性公墓建设，规范经营性公墓管理。持续提升婚姻收养登记管理服务水平，深化推进“互联网+婚姻服务”。加强和规范地名管理，完善管理法规政策体系，完善地名管理制度。推进公共法律服务全职能进驻县级矛盾纠纷调处化解中心，开展一站式智能化、规范化公共法律服务。制定法律援助案件规范化操作流程，建立法律帮助案件监督机制，健全认罪认罚案件法律援助参与机制，落实刑事法律援助全覆盖。</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color w:val="000000"/>
                <w:sz w:val="28"/>
                <w:szCs w:val="28"/>
              </w:rPr>
              <w:t>专栏11  兜底保障服务提升重大工程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大救助“一件事”集成改革工程。</w:t>
            </w:r>
            <w:r>
              <w:rPr>
                <w:rFonts w:ascii="Times New Roman" w:hAnsi="Times New Roman" w:eastAsia="仿宋_GB2312" w:cs="Times New Roman"/>
                <w:sz w:val="24"/>
                <w:szCs w:val="24"/>
              </w:rPr>
              <w:t>统筹“8+X”社会救助资源，建立常态化探访制度，健全困难群众的精准识别和主动发现机制，推行“一次申请、协同救助”的一站式服务模式，构建“资源统筹、部门联动、社会参与、数据共享”的大救助体系。</w:t>
            </w:r>
          </w:p>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残疾人服务设施建设工程。</w:t>
            </w:r>
            <w:r>
              <w:rPr>
                <w:rFonts w:ascii="Times New Roman" w:hAnsi="Times New Roman" w:eastAsia="仿宋_GB2312" w:cs="Times New Roman"/>
                <w:sz w:val="24"/>
                <w:szCs w:val="24"/>
              </w:rPr>
              <w:t>人口相对集聚的1万人以上的乡镇（街道）建有1家规范化“残疾人之家”，建立台州市残疾人托养和照料服务实训基地，建设一批专业残疾人康复和托养服务机构，配备相应设备和人员，开展全方位康复和托养服务。</w:t>
            </w:r>
          </w:p>
          <w:p>
            <w:pPr>
              <w:spacing w:line="400" w:lineRule="exact"/>
              <w:ind w:firstLine="482" w:firstLineChars="200"/>
              <w:rPr>
                <w:rFonts w:ascii="Times New Roman" w:hAnsi="Times New Roman" w:eastAsia="仿宋_GB2312" w:cs="Times New Roman"/>
                <w:sz w:val="32"/>
                <w:szCs w:val="32"/>
              </w:rPr>
            </w:pPr>
            <w:r>
              <w:rPr>
                <w:rFonts w:ascii="Times New Roman" w:hAnsi="Times New Roman" w:eastAsia="仿宋_GB2312" w:cs="Times New Roman"/>
                <w:b/>
                <w:sz w:val="24"/>
                <w:szCs w:val="24"/>
              </w:rPr>
              <w:t>慈善基地工程。</w:t>
            </w:r>
            <w:r>
              <w:rPr>
                <w:rFonts w:ascii="Times New Roman" w:hAnsi="Times New Roman" w:eastAsia="仿宋_GB2312" w:cs="Times New Roman"/>
                <w:sz w:val="24"/>
                <w:szCs w:val="24"/>
              </w:rPr>
              <w:t>发展市、县两级慈善基地，积极推动慈善基地及其委托运行机构登记认定成为慈善组织，并鼓励向联合型、支持型平台方向发展。推动慈善组织向乡镇（街道）、村（社区）覆盖。积极探索发展“互联网+慈善”新模式，支持互联网公益慈善基地建设。</w:t>
            </w:r>
          </w:p>
        </w:tc>
      </w:tr>
    </w:tbl>
    <w:p>
      <w:pPr>
        <w:spacing w:line="600" w:lineRule="exact"/>
        <w:ind w:firstLine="643" w:firstLineChars="200"/>
        <w:outlineLvl w:val="1"/>
        <w:rPr>
          <w:rFonts w:ascii="楷体_GB2312" w:hAnsi="楷体_GB2312" w:eastAsia="楷体_GB2312" w:cs="楷体_GB2312"/>
          <w:b/>
          <w:sz w:val="32"/>
          <w:szCs w:val="32"/>
        </w:rPr>
      </w:pPr>
      <w:bookmarkStart w:id="39" w:name="_Toc66830154"/>
      <w:r>
        <w:rPr>
          <w:rFonts w:ascii="楷体_GB2312" w:hAnsi="楷体_GB2312" w:eastAsia="楷体_GB2312" w:cs="楷体_GB2312"/>
          <w:b/>
          <w:sz w:val="32"/>
          <w:szCs w:val="32"/>
        </w:rPr>
        <w:t>（九）聚焦安有所保，完善公共安全服务</w:t>
      </w:r>
      <w:bookmarkEnd w:id="39"/>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sz w:val="32"/>
          <w:szCs w:val="32"/>
        </w:rPr>
        <w:t>以建设更高水平的“和谐台州”“平安台州”为目标，坚持共建共治共享，持续推进市域社会治理体系和治理能力现代化，提供更为优质的公共安全服务，不断提升人民群众的安全感和满意度。</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健全社会治安防控体系。</w:t>
      </w:r>
      <w:r>
        <w:rPr>
          <w:rFonts w:ascii="Times New Roman" w:hAnsi="Times New Roman" w:eastAsia="仿宋_GB2312" w:cs="Times New Roman"/>
          <w:sz w:val="32"/>
          <w:szCs w:val="32"/>
        </w:rPr>
        <w:t>构建全域立体化智能防控体系，不断提升防范化解重大风险能力水平。加快实施“天网”工程，大力推进以“雪亮工程”为龙头的感知体系建设，构建以信息化、智能化为支撑的立体化治安大防控体系。加强基层群众性自治组织建设，深化村级治理“三化十二制”，推动形成“社区大党委+社会组织+居民自治”的治理格局。加强流动人口、特殊群体的服务管理，强化重点人员的稳控工作。推进网警综合系统、网警管综系统建设，加强网络维稳和舆情引导。持续深化扫黑除恶专项斗争，全面推进“无盗抢城市”创建，确保社会安定有序。深入开展不安定因素排查工作，强化矛盾纠纷排查化解。进一步健全社会利益表达和协调机制，完善重大决策风险稳定评估机制。</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提升食品药品安全水平。</w:t>
      </w:r>
      <w:r>
        <w:rPr>
          <w:rFonts w:ascii="Times New Roman" w:hAnsi="Times New Roman" w:eastAsia="仿宋_GB2312" w:cs="Times New Roman"/>
          <w:sz w:val="32"/>
          <w:szCs w:val="32"/>
        </w:rPr>
        <w:t>继续深化“双安双创”工作，统筹推进省级食品安全市、国家农产品质量安全市创建，谋划国家食品安全示范市创建，鼓励有条件的县（市、区）争创国家农产品质量安全县。完善风险防控体系，构建食品药品安全“一库一图一码一指数”（食药安全数据库、食药安全风险图、食药安全风险码、食药安全指数）精密智控系统。持续深入开展食品八大专项攻坚行动和药品三大专项治理行动，重点加强冷链食品的管控力度，系统化提升重点领域食品药品安全水平。推进全市食品药品安全专业技术机构能力建设，加大对食药检测设备的投入，提升食品安全风险监测设备配置率。强化生产经营者主体责任，推进食品药品企业追溯体系建设，完善全程追溯协作机制。推进食品药品生产经营企业信用分级分类管理，强化安全信用监管和联合惩戒。</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强化安全生产监管。</w:t>
      </w:r>
      <w:r>
        <w:rPr>
          <w:rFonts w:ascii="Times New Roman" w:hAnsi="Times New Roman" w:eastAsia="仿宋_GB2312" w:cs="Times New Roman"/>
          <w:sz w:val="32"/>
          <w:szCs w:val="32"/>
        </w:rPr>
        <w:t>健全完善企业安全生产责任制，完善形成以落实企业主要负责人安全责任为重点的企业安全生产主体责任体系。开展重点领域安全生产综合整治，重点加强危险化学品、交通运输、工业园区、加工制造类小微企业和矿山、消防、道路交通、渔业船舶、城市建设、危险废物等行业领域的专项治理，切实消除安全风险隐患。推进安全生产风险防控和应急救援数字化建设，系统构建“风险领域一个库”“隐患排查一图一端”“实时监测一平台”“智能感知一张网”“融合通信一系统”，提升安全生产全过程实时管控能力。推进安全生产社会化服务和标准化创建工作，完善安全生产举报奖励制度，形成社会共治格局。</w:t>
      </w:r>
      <w:r>
        <w:rPr>
          <w:rFonts w:hint="eastAsia" w:ascii="Times New Roman" w:hAnsi="Times New Roman" w:eastAsia="仿宋_GB2312" w:cs="Times New Roman"/>
          <w:sz w:val="32"/>
          <w:szCs w:val="32"/>
        </w:rPr>
        <w:t>到2025年底，亿元生产总值生产安全事故死亡率下降到0.011%以下</w:t>
      </w:r>
      <w:r>
        <w:rPr>
          <w:rFonts w:ascii="Times New Roman" w:hAnsi="Times New Roman" w:eastAsia="仿宋_GB2312" w:cs="Times New Roman"/>
          <w:sz w:val="32"/>
          <w:szCs w:val="32"/>
        </w:rPr>
        <w:t xml:space="preserve">。 </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构建</w:t>
      </w:r>
      <w:r>
        <w:rPr>
          <w:rFonts w:hint="eastAsia" w:ascii="Times New Roman" w:hAnsi="Times New Roman" w:eastAsia="仿宋_GB2312" w:cs="Times New Roman"/>
          <w:b/>
          <w:sz w:val="32"/>
          <w:szCs w:val="32"/>
        </w:rPr>
        <w:t>放心</w:t>
      </w:r>
      <w:r>
        <w:rPr>
          <w:rFonts w:ascii="Times New Roman" w:hAnsi="Times New Roman" w:eastAsia="仿宋_GB2312" w:cs="Times New Roman"/>
          <w:b/>
          <w:sz w:val="32"/>
          <w:szCs w:val="32"/>
        </w:rPr>
        <w:t>消费环境。</w:t>
      </w:r>
      <w:r>
        <w:rPr>
          <w:rFonts w:ascii="Times New Roman" w:hAnsi="Times New Roman" w:eastAsia="仿宋_GB2312" w:cs="Times New Roman"/>
          <w:sz w:val="32"/>
          <w:szCs w:val="32"/>
        </w:rPr>
        <w:t>深化“放心消费在浙江”行动，全面建成放心消费城市，全力打响“和合台州·放心消费”品牌。全面提升放心消费单位覆盖面，覆盖主要商场、市场、街区、乡村。强化经营者责任，建立落实消费环节经营者首问和赔偿先付制度。加强维权网络建设，推进数字化改革赋能消费维权工作，深化消费投诉信息公示。加大执法监督力度，集中开展保护消费安全、打击农村假冒伪劣食品等专项整治。大力开展“3·15 国际消费者权益日”主题系列活动，依法保护消费者权益。</w:t>
      </w:r>
    </w:p>
    <w:p>
      <w:pPr>
        <w:spacing w:line="600"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完善防灾救灾与应急体系。</w:t>
      </w:r>
      <w:r>
        <w:rPr>
          <w:rFonts w:ascii="Times New Roman" w:hAnsi="Times New Roman" w:eastAsia="仿宋_GB2312" w:cs="Times New Roman"/>
          <w:sz w:val="32"/>
          <w:szCs w:val="32"/>
        </w:rPr>
        <w:t>强化“大应急”体系建设，健全统一领导、权责一致、综合协调、运转高效的应急管理体系，提高对公共危机的预防和应急处置能力。推进规范化避灾安置场所创建，开展乡镇及村居级规范化避灾安置示范单位建设，全面构建安全避灾保障网。加强自然灾害应急防范能力建设，健全气象灾害预案及应急机制。健全完善消防安全责任体系，开展重点场所和领域的消防安全治理，推进公共消防基层基础设施建设和管理，提升消防安全保障水平。实施江河固堤、平原扩排、海塘提标、除险加固等防汛排涝工程，到2025年基本建成分级设防保弃有序的“蓄滞挡排”工程体系。强化应急物资保障，完善重要应急物资监管、生产、储备、调拨和紧急配送体系。</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rPr>
                <w:rFonts w:ascii="Times New Roman" w:hAnsi="Times New Roman" w:eastAsia="仿宋_GB2312" w:cs="Times New Roman"/>
                <w:b/>
                <w:bCs/>
                <w:color w:val="000000" w:themeColor="text1"/>
                <w:sz w:val="28"/>
                <w:szCs w:val="28"/>
                <w14:textFill>
                  <w14:solidFill>
                    <w14:schemeClr w14:val="tx1"/>
                  </w14:solidFill>
                </w14:textFill>
              </w:rPr>
            </w:pPr>
            <w:r>
              <w:rPr>
                <w:rFonts w:ascii="Times New Roman" w:hAnsi="Times New Roman" w:eastAsia="仿宋_GB2312" w:cs="Times New Roman"/>
                <w:b/>
                <w:color w:val="000000"/>
                <w:sz w:val="28"/>
                <w:szCs w:val="28"/>
              </w:rPr>
              <w:t>专栏12  公共安全服务提升重大工程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shd w:val="clear" w:color="auto" w:fill="auto"/>
          </w:tcPr>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全域立体化智能防控体系建设工程。</w:t>
            </w:r>
            <w:r>
              <w:rPr>
                <w:rFonts w:ascii="Times New Roman" w:hAnsi="Times New Roman" w:eastAsia="仿宋_GB2312" w:cs="Times New Roman"/>
                <w:sz w:val="24"/>
                <w:szCs w:val="24"/>
              </w:rPr>
              <w:t>以“智能感知、精准防控”为社会公共安全管理的新理念，以全域覆盖、全域感知及全域防控为主线，严密全域智能感知体系，灵敏全域安全风险隐患，精准政府部门社会治理，构建全域立体化智能防控体系，提升政府部门对社会公共安全风险的预警、预测和预防能力。</w:t>
            </w:r>
          </w:p>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避灾安置场所建设工程。</w:t>
            </w:r>
            <w:r>
              <w:rPr>
                <w:rFonts w:ascii="Times New Roman" w:hAnsi="Times New Roman" w:eastAsia="仿宋_GB2312" w:cs="Times New Roman"/>
                <w:sz w:val="24"/>
                <w:szCs w:val="24"/>
              </w:rPr>
              <w:t>按照“淘汰一批、新增一批、改造一批、提升一批、备用一批”的要求，加强统筹规划，避灾安置场所覆盖率提高到</w:t>
            </w:r>
            <w:r>
              <w:rPr>
                <w:rFonts w:hint="eastAsia" w:ascii="Times New Roman" w:hAnsi="Times New Roman" w:eastAsia="仿宋_GB2312" w:cs="Times New Roman"/>
                <w:sz w:val="24"/>
                <w:szCs w:val="24"/>
              </w:rPr>
              <w:t>90</w:t>
            </w:r>
            <w:r>
              <w:rPr>
                <w:rFonts w:ascii="Times New Roman" w:hAnsi="Times New Roman" w:eastAsia="仿宋_GB2312" w:cs="Times New Roman"/>
                <w:sz w:val="24"/>
                <w:szCs w:val="24"/>
              </w:rPr>
              <w:t>%</w:t>
            </w:r>
            <w:r>
              <w:rPr>
                <w:rFonts w:hint="eastAsia" w:ascii="Times New Roman" w:hAnsi="Times New Roman" w:eastAsia="仿宋_GB2312" w:cs="Times New Roman"/>
                <w:sz w:val="24"/>
                <w:szCs w:val="24"/>
              </w:rPr>
              <w:t>以上</w:t>
            </w:r>
            <w:r>
              <w:rPr>
                <w:rFonts w:ascii="Times New Roman" w:hAnsi="Times New Roman" w:eastAsia="仿宋_GB2312" w:cs="Times New Roman"/>
                <w:sz w:val="24"/>
                <w:szCs w:val="24"/>
              </w:rPr>
              <w:t>，实现乡镇级避灾安置场所规范化建设全覆盖，全面构建安全避灾保障网，进一步提升防灾减灾救灾能力。</w:t>
            </w:r>
          </w:p>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应急管理数字化建设工程。</w:t>
            </w:r>
            <w:r>
              <w:rPr>
                <w:rFonts w:ascii="Times New Roman" w:hAnsi="Times New Roman" w:eastAsia="仿宋_GB2312" w:cs="Times New Roman"/>
                <w:sz w:val="24"/>
                <w:szCs w:val="24"/>
              </w:rPr>
              <w:t>加快推进应急管理指挥平台升级改造工程、自然灾害数字化管理系统工程、安全生产数字化管理系统工程等建设，同步推进市防指成员单位及县、乡两级个性化应急指挥功能建设，切实提升应急指挥、自然灾害应对和安全生产预警监管能力。</w:t>
            </w:r>
          </w:p>
          <w:p>
            <w:pPr>
              <w:spacing w:line="400" w:lineRule="exact"/>
              <w:ind w:firstLine="482" w:firstLineChars="200"/>
              <w:rPr>
                <w:rFonts w:ascii="Times New Roman" w:hAnsi="Times New Roman" w:eastAsia="仿宋_GB2312" w:cs="Times New Roman"/>
                <w:sz w:val="24"/>
                <w:szCs w:val="24"/>
              </w:rPr>
            </w:pPr>
            <w:r>
              <w:rPr>
                <w:rFonts w:ascii="Times New Roman" w:hAnsi="Times New Roman" w:eastAsia="仿宋_GB2312" w:cs="Times New Roman"/>
                <w:b/>
                <w:sz w:val="24"/>
                <w:szCs w:val="24"/>
              </w:rPr>
              <w:t>水利设施“三大攻坚”工程。</w:t>
            </w:r>
            <w:r>
              <w:rPr>
                <w:rFonts w:ascii="Times New Roman" w:hAnsi="Times New Roman" w:eastAsia="仿宋_GB2312" w:cs="Times New Roman"/>
                <w:sz w:val="24"/>
                <w:szCs w:val="24"/>
              </w:rPr>
              <w:t>积极推进海塘安澜工程、流域防洪工程、平原排涝工程等三大攻坚工程，进一步提高水工程保安能力，到2025年，县级以上城市防洪能力达到50年一遇以上，沿海重点区域防潮能力达到50至100年一遇以上，沿海平原排涝能力全面达到20年一遇。</w:t>
            </w:r>
          </w:p>
          <w:p>
            <w:pPr>
              <w:spacing w:line="400" w:lineRule="exact"/>
              <w:ind w:firstLine="482" w:firstLineChars="200"/>
              <w:rPr>
                <w:rFonts w:ascii="Times New Roman" w:hAnsi="Times New Roman" w:eastAsia="仿宋_GB2312" w:cs="Times New Roman"/>
                <w:sz w:val="24"/>
                <w:szCs w:val="24"/>
              </w:rPr>
            </w:pPr>
            <w:r>
              <w:rPr>
                <w:rFonts w:hint="eastAsia" w:ascii="Times New Roman" w:hAnsi="Times New Roman" w:eastAsia="仿宋_GB2312" w:cs="Times New Roman"/>
                <w:b/>
                <w:bCs/>
                <w:sz w:val="24"/>
                <w:szCs w:val="24"/>
              </w:rPr>
              <w:t>气象监测预报能力提升工程。</w:t>
            </w:r>
            <w:r>
              <w:rPr>
                <w:rFonts w:hint="eastAsia" w:ascii="Times New Roman" w:hAnsi="Times New Roman" w:eastAsia="仿宋_GB2312" w:cs="Times New Roman"/>
                <w:sz w:val="24"/>
                <w:szCs w:val="24"/>
              </w:rPr>
              <w:t>新建、升级气象监测站400个以上；升级台州新一代天气雷达，建设5部X波段相控阵雷达及25套高空垂直探测设备，弥补当前局地强降水监测盲区；实施大陈气候观象台、大陈台风综合探测基地、突发强对流监测预警、城市积涝监测预警等项目，提升台风、暴雨、局地强对流以及诱发中小河流洪水、山洪、地质灾害、城市积涝等灾害风险防范能力。</w:t>
            </w:r>
          </w:p>
        </w:tc>
      </w:tr>
    </w:tbl>
    <w:p>
      <w:pPr>
        <w:spacing w:line="600" w:lineRule="exact"/>
        <w:ind w:firstLine="643" w:firstLineChars="200"/>
        <w:outlineLvl w:val="0"/>
        <w:rPr>
          <w:rFonts w:ascii="Times New Roman" w:hAnsi="Times New Roman" w:eastAsia="仿宋_GB2312" w:cs="Times New Roman"/>
          <w:b/>
          <w:sz w:val="32"/>
          <w:szCs w:val="32"/>
        </w:rPr>
      </w:pPr>
      <w:bookmarkStart w:id="40" w:name="_Toc66830155"/>
      <w:r>
        <w:rPr>
          <w:rFonts w:ascii="Times New Roman" w:hAnsi="Times New Roman" w:eastAsia="仿宋_GB2312" w:cs="Times New Roman"/>
          <w:b/>
          <w:sz w:val="32"/>
          <w:szCs w:val="32"/>
        </w:rPr>
        <w:t>四、保障措施</w:t>
      </w:r>
      <w:bookmarkEnd w:id="40"/>
    </w:p>
    <w:p>
      <w:pPr>
        <w:spacing w:line="600" w:lineRule="exact"/>
        <w:ind w:firstLine="643" w:firstLineChars="200"/>
        <w:outlineLvl w:val="1"/>
        <w:rPr>
          <w:rFonts w:ascii="楷体_GB2312" w:hAnsi="楷体_GB2312" w:eastAsia="楷体_GB2312" w:cs="楷体_GB2312"/>
          <w:b/>
          <w:sz w:val="32"/>
          <w:szCs w:val="32"/>
        </w:rPr>
      </w:pPr>
      <w:bookmarkStart w:id="41" w:name="_Toc66830156"/>
      <w:r>
        <w:rPr>
          <w:rFonts w:ascii="楷体_GB2312" w:hAnsi="楷体_GB2312" w:eastAsia="楷体_GB2312" w:cs="楷体_GB2312"/>
          <w:b/>
          <w:sz w:val="32"/>
          <w:szCs w:val="32"/>
        </w:rPr>
        <w:t>（一）加强组织保障</w:t>
      </w:r>
      <w:bookmarkEnd w:id="41"/>
    </w:p>
    <w:p>
      <w:pPr>
        <w:spacing w:line="60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color w:val="000000"/>
          <w:kern w:val="0"/>
          <w:sz w:val="32"/>
          <w:szCs w:val="32"/>
        </w:rPr>
        <w:t>加强党的统一领导，把党的领导贯穿于推进公共服务体系发展各个阶段、各个领域、各个环节。</w:t>
      </w:r>
      <w:r>
        <w:rPr>
          <w:rFonts w:ascii="Times New Roman" w:hAnsi="Times New Roman" w:eastAsia="仿宋_GB2312" w:cs="Times New Roman"/>
          <w:sz w:val="32"/>
          <w:szCs w:val="32"/>
        </w:rPr>
        <w:t>发挥好市推</w:t>
      </w:r>
      <w:r>
        <w:rPr>
          <w:rFonts w:ascii="Times New Roman" w:hAnsi="Times New Roman" w:eastAsia="仿宋_GB2312" w:cs="Times New Roman"/>
          <w:color w:val="000000"/>
          <w:kern w:val="0"/>
          <w:sz w:val="32"/>
          <w:szCs w:val="32"/>
        </w:rPr>
        <w:t>进基本公共服务均等化工作协调小组作用，切实做好规划统筹、财政保障、监测评估和技术指导，</w:t>
      </w:r>
      <w:r>
        <w:rPr>
          <w:rFonts w:ascii="Times New Roman" w:hAnsi="Times New Roman" w:eastAsia="仿宋_GB2312" w:cs="Times New Roman"/>
          <w:sz w:val="32"/>
          <w:szCs w:val="32"/>
        </w:rPr>
        <w:t>不定期组织召开联席会议，统筹跨部门、跨地区、跨行政层级资源，形成合力共同推进本规划的有效实施。</w:t>
      </w:r>
    </w:p>
    <w:p>
      <w:pPr>
        <w:spacing w:line="600" w:lineRule="exact"/>
        <w:ind w:firstLine="643" w:firstLineChars="200"/>
        <w:outlineLvl w:val="1"/>
        <w:rPr>
          <w:rFonts w:ascii="楷体_GB2312" w:hAnsi="楷体_GB2312" w:eastAsia="楷体_GB2312" w:cs="楷体_GB2312"/>
          <w:b/>
          <w:sz w:val="32"/>
          <w:szCs w:val="32"/>
        </w:rPr>
      </w:pPr>
      <w:bookmarkStart w:id="42" w:name="_Toc66830157"/>
      <w:r>
        <w:rPr>
          <w:rFonts w:ascii="楷体_GB2312" w:hAnsi="楷体_GB2312" w:eastAsia="楷体_GB2312" w:cs="楷体_GB2312"/>
          <w:b/>
          <w:sz w:val="32"/>
          <w:szCs w:val="32"/>
        </w:rPr>
        <w:t>（二）明确责任分工</w:t>
      </w:r>
      <w:bookmarkEnd w:id="42"/>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强化规划刚性，分解落实目标任务。市级各有关部门要重点抓好制度完善、政策制定、督促检查和指导服务工作，并制定实施本部门的具体方案和年度工作计划。各县（市、区）政府是公共服务的实施主体和责任主体，根据本规划要求，制定本地区公共服务体系建设的行动计划或实施方案，推进本地区基本公共服务项目建设，鼓励有条件的县（市、区）拓展服务范围和提高服务标准。</w:t>
      </w:r>
    </w:p>
    <w:p>
      <w:pPr>
        <w:spacing w:line="600" w:lineRule="exact"/>
        <w:ind w:firstLine="643" w:firstLineChars="200"/>
        <w:outlineLvl w:val="1"/>
        <w:rPr>
          <w:rFonts w:ascii="楷体_GB2312" w:hAnsi="楷体_GB2312" w:eastAsia="楷体_GB2312" w:cs="楷体_GB2312"/>
          <w:b/>
          <w:sz w:val="32"/>
          <w:szCs w:val="32"/>
        </w:rPr>
      </w:pPr>
      <w:bookmarkStart w:id="43" w:name="_Toc66830158"/>
      <w:r>
        <w:rPr>
          <w:rFonts w:ascii="楷体_GB2312" w:hAnsi="楷体_GB2312" w:eastAsia="楷体_GB2312" w:cs="楷体_GB2312"/>
          <w:b/>
          <w:sz w:val="32"/>
          <w:szCs w:val="32"/>
        </w:rPr>
        <w:t>（三）严格监督考评</w:t>
      </w:r>
      <w:bookmarkEnd w:id="43"/>
    </w:p>
    <w:p>
      <w:pPr>
        <w:spacing w:line="60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强化人民代表大会和政协监督的作用，加强对基本公共服务预算、审批、执行、效果等的全过程监管和信息公开。将本规划的主要目标任务纳入各级各部门的绩效考核体系中，并适当增加考核权重。建立监测评估机制，加强基本公共服务全领域的监测分析，定期对规划的执行和落实情况开展督查和评估。常态化开展基本公共服务社会满意度调查，强化人民群众的监督约束。</w:t>
      </w:r>
    </w:p>
    <w:p>
      <w:pPr>
        <w:spacing w:line="600" w:lineRule="exact"/>
        <w:ind w:firstLine="643" w:firstLineChars="200"/>
        <w:outlineLvl w:val="1"/>
        <w:rPr>
          <w:rFonts w:ascii="楷体_GB2312" w:hAnsi="楷体_GB2312" w:eastAsia="楷体_GB2312" w:cs="楷体_GB2312"/>
          <w:b/>
          <w:sz w:val="32"/>
          <w:szCs w:val="32"/>
        </w:rPr>
      </w:pPr>
      <w:bookmarkStart w:id="44" w:name="_Toc66830159"/>
      <w:r>
        <w:rPr>
          <w:rFonts w:ascii="楷体_GB2312" w:hAnsi="楷体_GB2312" w:eastAsia="楷体_GB2312" w:cs="楷体_GB2312"/>
          <w:b/>
          <w:sz w:val="32"/>
          <w:szCs w:val="32"/>
        </w:rPr>
        <w:t>（四）推进项目实施</w:t>
      </w:r>
      <w:bookmarkEnd w:id="44"/>
    </w:p>
    <w:p>
      <w:pPr>
        <w:spacing w:line="600" w:lineRule="exact"/>
        <w:ind w:firstLine="640" w:firstLineChars="200"/>
        <w:rPr>
          <w:rFonts w:ascii="Times New Roman" w:hAnsi="Times New Roman" w:eastAsia="宋体" w:cs="Times New Roman"/>
          <w:kern w:val="0"/>
          <w:sz w:val="24"/>
          <w:szCs w:val="24"/>
        </w:rPr>
      </w:pPr>
      <w:r>
        <w:rPr>
          <w:rFonts w:ascii="Times New Roman" w:hAnsi="Times New Roman" w:eastAsia="仿宋_GB2312" w:cs="Times New Roman"/>
          <w:sz w:val="32"/>
          <w:szCs w:val="32"/>
        </w:rPr>
        <w:t>根据本规划确定</w:t>
      </w:r>
      <w:r>
        <w:rPr>
          <w:rFonts w:ascii="Times New Roman" w:hAnsi="Times New Roman" w:eastAsia="仿宋_GB2312" w:cs="Times New Roman"/>
          <w:color w:val="000000"/>
          <w:kern w:val="0"/>
          <w:sz w:val="32"/>
          <w:szCs w:val="32"/>
        </w:rPr>
        <w:t>的目标、领域、任务，</w:t>
      </w:r>
      <w:r>
        <w:rPr>
          <w:rFonts w:ascii="Times New Roman" w:hAnsi="Times New Roman" w:eastAsia="仿宋_GB2312" w:cs="Times New Roman"/>
          <w:sz w:val="32"/>
          <w:szCs w:val="32"/>
        </w:rPr>
        <w:t>精心组织，统筹谋划，有序推进，大力实施一批关系全市公共服务提升的全局性、战略性重大改革、重大政策和重大项目，努力补齐制约公共服务提升最关键、最迫切短板。滚动调整、动态更新相关储备库。建立健全“项目跟着规划走、要素跟着项目走”机制，切实加强项目实施过程中的资金、土地等要素保障。</w:t>
      </w:r>
    </w:p>
    <w:p>
      <w:pPr>
        <w:spacing w:line="600" w:lineRule="exact"/>
        <w:ind w:firstLine="643" w:firstLineChars="200"/>
        <w:outlineLvl w:val="1"/>
        <w:rPr>
          <w:rFonts w:ascii="楷体_GB2312" w:hAnsi="楷体_GB2312" w:eastAsia="楷体_GB2312" w:cs="楷体_GB2312"/>
          <w:b/>
          <w:sz w:val="32"/>
          <w:szCs w:val="32"/>
        </w:rPr>
      </w:pPr>
      <w:bookmarkStart w:id="45" w:name="_Toc66830160"/>
      <w:r>
        <w:rPr>
          <w:rFonts w:ascii="楷体_GB2312" w:hAnsi="楷体_GB2312" w:eastAsia="楷体_GB2312" w:cs="楷体_GB2312"/>
          <w:b/>
          <w:sz w:val="32"/>
          <w:szCs w:val="32"/>
        </w:rPr>
        <w:t>（五）加强人才建设</w:t>
      </w:r>
      <w:bookmarkEnd w:id="45"/>
    </w:p>
    <w:p>
      <w:pPr>
        <w:spacing w:line="600" w:lineRule="exact"/>
        <w:ind w:firstLine="640" w:firstLineChars="200"/>
        <w:rPr>
          <w:rFonts w:hint="eastAsia" w:ascii="Times New Roman" w:hAnsi="Times New Roman" w:eastAsia="仿宋_GB2312" w:cs="Times New Roman"/>
          <w:color w:val="000000"/>
          <w:kern w:val="0"/>
          <w:sz w:val="32"/>
          <w:szCs w:val="32"/>
          <w:lang w:eastAsia="zh-CN"/>
        </w:rPr>
        <w:sectPr>
          <w:pgSz w:w="11906" w:h="16838"/>
          <w:pgMar w:top="1701" w:right="1587" w:bottom="1701" w:left="1587" w:header="851" w:footer="1247" w:gutter="0"/>
          <w:cols w:space="0" w:num="1"/>
          <w:docGrid w:type="lines" w:linePitch="312" w:charSpace="0"/>
        </w:sectPr>
      </w:pPr>
      <w:r>
        <w:rPr>
          <w:rFonts w:ascii="Times New Roman" w:hAnsi="Times New Roman" w:eastAsia="仿宋_GB2312" w:cs="Times New Roman"/>
          <w:sz w:val="32"/>
          <w:szCs w:val="32"/>
        </w:rPr>
        <w:t>积极发挥台州人才新政2.0和社会事业人才发展三十条的作用，加大公共服务领域高层次人才引进。支持本地高校和中等职业学校加大对公共服务领域人才培养。</w:t>
      </w:r>
      <w:r>
        <w:rPr>
          <w:rFonts w:ascii="Times New Roman" w:hAnsi="Times New Roman" w:eastAsia="仿宋_GB2312" w:cs="Times New Roman"/>
          <w:color w:val="000000"/>
          <w:kern w:val="0"/>
          <w:sz w:val="32"/>
          <w:szCs w:val="32"/>
        </w:rPr>
        <w:t>健全公共服务从业人员教育培训制度，</w:t>
      </w:r>
      <w:r>
        <w:rPr>
          <w:rFonts w:ascii="Times New Roman" w:hAnsi="Times New Roman" w:eastAsia="仿宋_GB2312" w:cs="Times New Roman"/>
          <w:sz w:val="32"/>
          <w:szCs w:val="32"/>
        </w:rPr>
        <w:t>打造一批示范性人才培训服务机构，强化订单、定岗、定向培训，</w:t>
      </w:r>
      <w:r>
        <w:rPr>
          <w:rFonts w:ascii="Times New Roman" w:hAnsi="Times New Roman" w:eastAsia="仿宋_GB2312" w:cs="Times New Roman"/>
          <w:color w:val="000000"/>
          <w:kern w:val="0"/>
          <w:sz w:val="32"/>
          <w:szCs w:val="32"/>
        </w:rPr>
        <w:t>增强人才与岗位的匹配度</w:t>
      </w:r>
      <w:r>
        <w:rPr>
          <w:rFonts w:ascii="Times New Roman" w:hAnsi="Times New Roman" w:eastAsia="仿宋_GB2312" w:cs="Times New Roman"/>
          <w:sz w:val="32"/>
          <w:szCs w:val="32"/>
        </w:rPr>
        <w:t>。建立基本公共服务人才合理流动机制，引导人才向基层和薄弱地区流动。健全激励机制，完善工资薪酬待遇、职称评聘、社会保障等激励政策。</w:t>
      </w:r>
      <w:r>
        <w:rPr>
          <w:rFonts w:ascii="Times New Roman" w:hAnsi="Times New Roman" w:eastAsia="仿宋_GB2312" w:cs="Times New Roman"/>
          <w:color w:val="000000"/>
          <w:kern w:val="0"/>
          <w:sz w:val="32"/>
          <w:szCs w:val="32"/>
        </w:rPr>
        <w:t>加强公共服务组织体系建设，发展公益性社会服务组织，提升公共服务组织化、社会化水平</w:t>
      </w:r>
      <w:r>
        <w:rPr>
          <w:rFonts w:hint="eastAsia" w:ascii="Times New Roman" w:hAnsi="Times New Roman" w:eastAsia="仿宋_GB2312" w:cs="Times New Roman"/>
          <w:color w:val="000000"/>
          <w:kern w:val="0"/>
          <w:sz w:val="32"/>
          <w:szCs w:val="32"/>
          <w:lang w:eastAsia="zh-CN"/>
        </w:rPr>
        <w:t>。</w:t>
      </w:r>
    </w:p>
    <w:p>
      <w:pPr>
        <w:tabs>
          <w:tab w:val="left" w:pos="687"/>
        </w:tabs>
        <w:bidi w:val="0"/>
        <w:jc w:val="left"/>
        <w:rPr>
          <w:lang w:val="en-US" w:eastAsia="zh-CN"/>
        </w:rPr>
      </w:pPr>
      <w:bookmarkStart w:id="46" w:name="_GoBack"/>
      <w:bookmarkEnd w:id="46"/>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rFonts w:hint="eastAsia" w:ascii="Times New Roman" w:hAnsi="Times New Roman" w:cs="Times New Roman"/>
        <w:sz w:val="24"/>
        <w:szCs w:val="24"/>
      </w:rPr>
      <w:t>—</w:t>
    </w:r>
    <w:sdt>
      <w:sdtPr>
        <w:rPr>
          <w:rFonts w:ascii="Times New Roman" w:hAnsi="Times New Roman" w:cs="Times New Roman"/>
          <w:sz w:val="24"/>
          <w:szCs w:val="24"/>
        </w:rPr>
        <w:id w:val="-1952707833"/>
      </w:sdtPr>
      <w:sdtEndPr>
        <w:rPr>
          <w:rFonts w:ascii="Times New Roman" w:hAnsi="Times New Roman" w:cs="Times New Roman"/>
          <w:sz w:val="24"/>
          <w:szCs w:val="24"/>
        </w:rPr>
      </w:sdtEndPr>
      <w:sdtContent>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38</w:t>
        </w:r>
        <w:r>
          <w:rPr>
            <w:rFonts w:ascii="Times New Roman" w:hAnsi="Times New Roman" w:cs="Times New Roman"/>
            <w:sz w:val="24"/>
            <w:szCs w:val="24"/>
            <w:lang w:val="zh-CN"/>
          </w:rPr>
          <w:fldChar w:fldCharType="end"/>
        </w:r>
        <w:r>
          <w:rPr>
            <w:rFonts w:hint="eastAsia" w:ascii="Times New Roman" w:hAnsi="Times New Roman" w:cs="Times New Roman"/>
            <w:sz w:val="24"/>
            <w:szCs w:val="24"/>
            <w:lang w:val="zh-CN"/>
          </w:rPr>
          <w:t>—</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23C"/>
    <w:rsid w:val="00003603"/>
    <w:rsid w:val="00004425"/>
    <w:rsid w:val="0000556A"/>
    <w:rsid w:val="00015EF8"/>
    <w:rsid w:val="00022579"/>
    <w:rsid w:val="000368AB"/>
    <w:rsid w:val="00046164"/>
    <w:rsid w:val="00046D00"/>
    <w:rsid w:val="00053C21"/>
    <w:rsid w:val="00071214"/>
    <w:rsid w:val="00076BFA"/>
    <w:rsid w:val="00082F31"/>
    <w:rsid w:val="000879BB"/>
    <w:rsid w:val="000B090B"/>
    <w:rsid w:val="000B15E1"/>
    <w:rsid w:val="000B3C7F"/>
    <w:rsid w:val="000E296D"/>
    <w:rsid w:val="000E512C"/>
    <w:rsid w:val="000E5EC6"/>
    <w:rsid w:val="000E7C91"/>
    <w:rsid w:val="000F4F55"/>
    <w:rsid w:val="000F557B"/>
    <w:rsid w:val="000F7A59"/>
    <w:rsid w:val="0010304A"/>
    <w:rsid w:val="0011653C"/>
    <w:rsid w:val="00122722"/>
    <w:rsid w:val="0015339F"/>
    <w:rsid w:val="00160C6B"/>
    <w:rsid w:val="00183DCC"/>
    <w:rsid w:val="00192EFA"/>
    <w:rsid w:val="001A4FF8"/>
    <w:rsid w:val="001B7043"/>
    <w:rsid w:val="001D0357"/>
    <w:rsid w:val="001D4724"/>
    <w:rsid w:val="001D4C58"/>
    <w:rsid w:val="001D65E2"/>
    <w:rsid w:val="001E0545"/>
    <w:rsid w:val="001E061C"/>
    <w:rsid w:val="001F4C73"/>
    <w:rsid w:val="001F5082"/>
    <w:rsid w:val="00203D9E"/>
    <w:rsid w:val="00207139"/>
    <w:rsid w:val="00207666"/>
    <w:rsid w:val="0022636A"/>
    <w:rsid w:val="0022663D"/>
    <w:rsid w:val="00241BD4"/>
    <w:rsid w:val="002449AF"/>
    <w:rsid w:val="002541FE"/>
    <w:rsid w:val="00262242"/>
    <w:rsid w:val="0026626F"/>
    <w:rsid w:val="00275698"/>
    <w:rsid w:val="002840FF"/>
    <w:rsid w:val="002904C8"/>
    <w:rsid w:val="00290994"/>
    <w:rsid w:val="002A3E0A"/>
    <w:rsid w:val="002A5660"/>
    <w:rsid w:val="002B67E3"/>
    <w:rsid w:val="002D41BC"/>
    <w:rsid w:val="002D5671"/>
    <w:rsid w:val="002D7791"/>
    <w:rsid w:val="00320EE7"/>
    <w:rsid w:val="003214E1"/>
    <w:rsid w:val="00326FDA"/>
    <w:rsid w:val="0033098A"/>
    <w:rsid w:val="003348DD"/>
    <w:rsid w:val="003359CE"/>
    <w:rsid w:val="00335AE3"/>
    <w:rsid w:val="003414E0"/>
    <w:rsid w:val="00342EBA"/>
    <w:rsid w:val="00344339"/>
    <w:rsid w:val="00347E08"/>
    <w:rsid w:val="00350773"/>
    <w:rsid w:val="003512C6"/>
    <w:rsid w:val="003611C4"/>
    <w:rsid w:val="0036796D"/>
    <w:rsid w:val="003807C3"/>
    <w:rsid w:val="00383A9E"/>
    <w:rsid w:val="00384032"/>
    <w:rsid w:val="003860E4"/>
    <w:rsid w:val="00391F80"/>
    <w:rsid w:val="00393742"/>
    <w:rsid w:val="00393D1B"/>
    <w:rsid w:val="003B0AC9"/>
    <w:rsid w:val="003B3D5B"/>
    <w:rsid w:val="003C1687"/>
    <w:rsid w:val="003D2254"/>
    <w:rsid w:val="003E0DFA"/>
    <w:rsid w:val="003E2D62"/>
    <w:rsid w:val="003E42C5"/>
    <w:rsid w:val="003E6EDC"/>
    <w:rsid w:val="003F14B4"/>
    <w:rsid w:val="003F2B17"/>
    <w:rsid w:val="003F7AA2"/>
    <w:rsid w:val="003F7B66"/>
    <w:rsid w:val="00404A5B"/>
    <w:rsid w:val="00405171"/>
    <w:rsid w:val="00424325"/>
    <w:rsid w:val="00433A17"/>
    <w:rsid w:val="00437F05"/>
    <w:rsid w:val="00441EEB"/>
    <w:rsid w:val="0044641E"/>
    <w:rsid w:val="004534B0"/>
    <w:rsid w:val="00455272"/>
    <w:rsid w:val="00456618"/>
    <w:rsid w:val="00457956"/>
    <w:rsid w:val="00465494"/>
    <w:rsid w:val="00466F2E"/>
    <w:rsid w:val="00470D0E"/>
    <w:rsid w:val="00471B8E"/>
    <w:rsid w:val="00471EEB"/>
    <w:rsid w:val="004807EF"/>
    <w:rsid w:val="00492EF1"/>
    <w:rsid w:val="0049380B"/>
    <w:rsid w:val="00495888"/>
    <w:rsid w:val="0049740C"/>
    <w:rsid w:val="004A1753"/>
    <w:rsid w:val="004A306F"/>
    <w:rsid w:val="004A62F1"/>
    <w:rsid w:val="004B479A"/>
    <w:rsid w:val="004C6F65"/>
    <w:rsid w:val="004D5F83"/>
    <w:rsid w:val="004D6B94"/>
    <w:rsid w:val="004D72C0"/>
    <w:rsid w:val="004E0495"/>
    <w:rsid w:val="004E38E2"/>
    <w:rsid w:val="004E6746"/>
    <w:rsid w:val="004F106B"/>
    <w:rsid w:val="00513A9B"/>
    <w:rsid w:val="005213CC"/>
    <w:rsid w:val="00531EF6"/>
    <w:rsid w:val="00534D32"/>
    <w:rsid w:val="00535BBA"/>
    <w:rsid w:val="00537C03"/>
    <w:rsid w:val="005420CD"/>
    <w:rsid w:val="005425DF"/>
    <w:rsid w:val="00555159"/>
    <w:rsid w:val="00555D98"/>
    <w:rsid w:val="005875B7"/>
    <w:rsid w:val="0059025E"/>
    <w:rsid w:val="005932A1"/>
    <w:rsid w:val="00596F9B"/>
    <w:rsid w:val="005A192E"/>
    <w:rsid w:val="005B2559"/>
    <w:rsid w:val="005B3110"/>
    <w:rsid w:val="005C5F1C"/>
    <w:rsid w:val="005C7071"/>
    <w:rsid w:val="005E0417"/>
    <w:rsid w:val="005E0896"/>
    <w:rsid w:val="005E1AC1"/>
    <w:rsid w:val="005E4969"/>
    <w:rsid w:val="005F0053"/>
    <w:rsid w:val="005F52CA"/>
    <w:rsid w:val="00615F4D"/>
    <w:rsid w:val="00623A44"/>
    <w:rsid w:val="0062501C"/>
    <w:rsid w:val="00631E85"/>
    <w:rsid w:val="0066305D"/>
    <w:rsid w:val="006735B5"/>
    <w:rsid w:val="006820F1"/>
    <w:rsid w:val="006A09D8"/>
    <w:rsid w:val="006C29ED"/>
    <w:rsid w:val="006D2EE5"/>
    <w:rsid w:val="006D33CB"/>
    <w:rsid w:val="00701705"/>
    <w:rsid w:val="007034D6"/>
    <w:rsid w:val="00711C4F"/>
    <w:rsid w:val="007257CC"/>
    <w:rsid w:val="00726621"/>
    <w:rsid w:val="007310A9"/>
    <w:rsid w:val="0073216E"/>
    <w:rsid w:val="00750950"/>
    <w:rsid w:val="007652E2"/>
    <w:rsid w:val="00775308"/>
    <w:rsid w:val="0077595A"/>
    <w:rsid w:val="00776550"/>
    <w:rsid w:val="00776B30"/>
    <w:rsid w:val="00782077"/>
    <w:rsid w:val="007840B1"/>
    <w:rsid w:val="0079294A"/>
    <w:rsid w:val="007A0BCB"/>
    <w:rsid w:val="007A53D1"/>
    <w:rsid w:val="007B2F4A"/>
    <w:rsid w:val="007B4EE5"/>
    <w:rsid w:val="007B63F6"/>
    <w:rsid w:val="007C2274"/>
    <w:rsid w:val="007D0B74"/>
    <w:rsid w:val="007D2F16"/>
    <w:rsid w:val="007D79E8"/>
    <w:rsid w:val="007E7B26"/>
    <w:rsid w:val="007F1EA0"/>
    <w:rsid w:val="008008B9"/>
    <w:rsid w:val="008044FE"/>
    <w:rsid w:val="00811C34"/>
    <w:rsid w:val="00812DEB"/>
    <w:rsid w:val="00812E23"/>
    <w:rsid w:val="00813B8F"/>
    <w:rsid w:val="0081723C"/>
    <w:rsid w:val="00831A00"/>
    <w:rsid w:val="00833C8A"/>
    <w:rsid w:val="008357E7"/>
    <w:rsid w:val="00850C74"/>
    <w:rsid w:val="00874A34"/>
    <w:rsid w:val="00875688"/>
    <w:rsid w:val="00877EC1"/>
    <w:rsid w:val="008805CE"/>
    <w:rsid w:val="00890096"/>
    <w:rsid w:val="00891AC6"/>
    <w:rsid w:val="00891B59"/>
    <w:rsid w:val="00892C80"/>
    <w:rsid w:val="00894229"/>
    <w:rsid w:val="008A3635"/>
    <w:rsid w:val="008B5904"/>
    <w:rsid w:val="008C376C"/>
    <w:rsid w:val="008D1D41"/>
    <w:rsid w:val="008D2158"/>
    <w:rsid w:val="008E0B34"/>
    <w:rsid w:val="008E1F20"/>
    <w:rsid w:val="008E2A17"/>
    <w:rsid w:val="008E38C3"/>
    <w:rsid w:val="00902FAF"/>
    <w:rsid w:val="009037D3"/>
    <w:rsid w:val="00910715"/>
    <w:rsid w:val="009255BC"/>
    <w:rsid w:val="009340A9"/>
    <w:rsid w:val="00935EBE"/>
    <w:rsid w:val="00946737"/>
    <w:rsid w:val="00951A20"/>
    <w:rsid w:val="009641A2"/>
    <w:rsid w:val="00972BC6"/>
    <w:rsid w:val="0097462E"/>
    <w:rsid w:val="00974685"/>
    <w:rsid w:val="00982A79"/>
    <w:rsid w:val="00995739"/>
    <w:rsid w:val="009959D5"/>
    <w:rsid w:val="009B3487"/>
    <w:rsid w:val="009B536E"/>
    <w:rsid w:val="009B684D"/>
    <w:rsid w:val="009C382D"/>
    <w:rsid w:val="009C3A2C"/>
    <w:rsid w:val="009C6195"/>
    <w:rsid w:val="009D58BA"/>
    <w:rsid w:val="009E5F77"/>
    <w:rsid w:val="00A10D7B"/>
    <w:rsid w:val="00A15CF0"/>
    <w:rsid w:val="00A22C4B"/>
    <w:rsid w:val="00A234CD"/>
    <w:rsid w:val="00A317FB"/>
    <w:rsid w:val="00A47BA1"/>
    <w:rsid w:val="00A47E54"/>
    <w:rsid w:val="00A50A22"/>
    <w:rsid w:val="00A56A62"/>
    <w:rsid w:val="00A6615C"/>
    <w:rsid w:val="00A70715"/>
    <w:rsid w:val="00A70CB4"/>
    <w:rsid w:val="00A73198"/>
    <w:rsid w:val="00A86A22"/>
    <w:rsid w:val="00AA19FE"/>
    <w:rsid w:val="00AA1F89"/>
    <w:rsid w:val="00AA2285"/>
    <w:rsid w:val="00AB0CBD"/>
    <w:rsid w:val="00AC546E"/>
    <w:rsid w:val="00AC61FF"/>
    <w:rsid w:val="00AD2B0D"/>
    <w:rsid w:val="00AE11E3"/>
    <w:rsid w:val="00AF1530"/>
    <w:rsid w:val="00AF6007"/>
    <w:rsid w:val="00B0176D"/>
    <w:rsid w:val="00B04D6D"/>
    <w:rsid w:val="00B146B7"/>
    <w:rsid w:val="00B22E25"/>
    <w:rsid w:val="00B346CF"/>
    <w:rsid w:val="00B3510F"/>
    <w:rsid w:val="00B41109"/>
    <w:rsid w:val="00B45169"/>
    <w:rsid w:val="00B960BA"/>
    <w:rsid w:val="00BA0729"/>
    <w:rsid w:val="00BA3D97"/>
    <w:rsid w:val="00BA5B9F"/>
    <w:rsid w:val="00BB55E3"/>
    <w:rsid w:val="00BC255A"/>
    <w:rsid w:val="00BC58BD"/>
    <w:rsid w:val="00BD53DC"/>
    <w:rsid w:val="00BD7825"/>
    <w:rsid w:val="00BE042A"/>
    <w:rsid w:val="00BE07D8"/>
    <w:rsid w:val="00BF29CD"/>
    <w:rsid w:val="00BF6ECE"/>
    <w:rsid w:val="00BF7796"/>
    <w:rsid w:val="00C03606"/>
    <w:rsid w:val="00C058B5"/>
    <w:rsid w:val="00C12348"/>
    <w:rsid w:val="00C14B66"/>
    <w:rsid w:val="00C16425"/>
    <w:rsid w:val="00C20F01"/>
    <w:rsid w:val="00C32491"/>
    <w:rsid w:val="00C34716"/>
    <w:rsid w:val="00C3608C"/>
    <w:rsid w:val="00C41C6D"/>
    <w:rsid w:val="00C42A54"/>
    <w:rsid w:val="00C5051E"/>
    <w:rsid w:val="00C55D24"/>
    <w:rsid w:val="00C5653B"/>
    <w:rsid w:val="00C65FEB"/>
    <w:rsid w:val="00C73F00"/>
    <w:rsid w:val="00C74B9D"/>
    <w:rsid w:val="00C870A3"/>
    <w:rsid w:val="00C90B7A"/>
    <w:rsid w:val="00C952EE"/>
    <w:rsid w:val="00CA1477"/>
    <w:rsid w:val="00CA54DA"/>
    <w:rsid w:val="00CB085F"/>
    <w:rsid w:val="00CD25A4"/>
    <w:rsid w:val="00CD62D7"/>
    <w:rsid w:val="00CE4B23"/>
    <w:rsid w:val="00CF0F78"/>
    <w:rsid w:val="00D15E97"/>
    <w:rsid w:val="00D17035"/>
    <w:rsid w:val="00D210E3"/>
    <w:rsid w:val="00D3044A"/>
    <w:rsid w:val="00D3697A"/>
    <w:rsid w:val="00D601D6"/>
    <w:rsid w:val="00D61B4E"/>
    <w:rsid w:val="00D71E3B"/>
    <w:rsid w:val="00D93DE3"/>
    <w:rsid w:val="00DA1C51"/>
    <w:rsid w:val="00DD5020"/>
    <w:rsid w:val="00DE33FF"/>
    <w:rsid w:val="00DE791E"/>
    <w:rsid w:val="00DF1B10"/>
    <w:rsid w:val="00DF3D48"/>
    <w:rsid w:val="00DF7BBE"/>
    <w:rsid w:val="00E07047"/>
    <w:rsid w:val="00E11939"/>
    <w:rsid w:val="00E246E9"/>
    <w:rsid w:val="00E252D7"/>
    <w:rsid w:val="00E27E00"/>
    <w:rsid w:val="00E42958"/>
    <w:rsid w:val="00E468EF"/>
    <w:rsid w:val="00E476F3"/>
    <w:rsid w:val="00E5279C"/>
    <w:rsid w:val="00E541D6"/>
    <w:rsid w:val="00E76DCC"/>
    <w:rsid w:val="00E8760F"/>
    <w:rsid w:val="00E87E0A"/>
    <w:rsid w:val="00E978A3"/>
    <w:rsid w:val="00EC37AB"/>
    <w:rsid w:val="00EC56DB"/>
    <w:rsid w:val="00EC64DF"/>
    <w:rsid w:val="00EE027B"/>
    <w:rsid w:val="00EE0473"/>
    <w:rsid w:val="00EF1042"/>
    <w:rsid w:val="00EF46CB"/>
    <w:rsid w:val="00F222E5"/>
    <w:rsid w:val="00F264E8"/>
    <w:rsid w:val="00F54D2E"/>
    <w:rsid w:val="00F70960"/>
    <w:rsid w:val="00F829DE"/>
    <w:rsid w:val="00F9324D"/>
    <w:rsid w:val="00F9508A"/>
    <w:rsid w:val="00F97879"/>
    <w:rsid w:val="00FA3DB7"/>
    <w:rsid w:val="00FC1338"/>
    <w:rsid w:val="00FC4E92"/>
    <w:rsid w:val="00FD725C"/>
    <w:rsid w:val="00FE285E"/>
    <w:rsid w:val="00FF068B"/>
    <w:rsid w:val="00FF6286"/>
    <w:rsid w:val="04373BB7"/>
    <w:rsid w:val="05C127CE"/>
    <w:rsid w:val="069D7157"/>
    <w:rsid w:val="0A7938BC"/>
    <w:rsid w:val="0B8D62D6"/>
    <w:rsid w:val="0F7E2801"/>
    <w:rsid w:val="0FD7753D"/>
    <w:rsid w:val="1B2948E3"/>
    <w:rsid w:val="1BD15E43"/>
    <w:rsid w:val="1C7A0DA5"/>
    <w:rsid w:val="272F141E"/>
    <w:rsid w:val="28B21A26"/>
    <w:rsid w:val="2A4F7592"/>
    <w:rsid w:val="2FAB1C80"/>
    <w:rsid w:val="306E6824"/>
    <w:rsid w:val="31607D62"/>
    <w:rsid w:val="3178492D"/>
    <w:rsid w:val="374D498B"/>
    <w:rsid w:val="3B69435E"/>
    <w:rsid w:val="3CB0056F"/>
    <w:rsid w:val="3EED0A4E"/>
    <w:rsid w:val="42732CC1"/>
    <w:rsid w:val="44A03637"/>
    <w:rsid w:val="44D30F8C"/>
    <w:rsid w:val="46844CF4"/>
    <w:rsid w:val="475D1F9A"/>
    <w:rsid w:val="477956F4"/>
    <w:rsid w:val="4AC45C66"/>
    <w:rsid w:val="4D5A5A38"/>
    <w:rsid w:val="50C562BB"/>
    <w:rsid w:val="573139F8"/>
    <w:rsid w:val="5CB4394D"/>
    <w:rsid w:val="6BA125EC"/>
    <w:rsid w:val="6F614217"/>
    <w:rsid w:val="70872AE4"/>
    <w:rsid w:val="716C1BF1"/>
    <w:rsid w:val="738A7BBD"/>
    <w:rsid w:val="77F70429"/>
    <w:rsid w:val="7C223583"/>
    <w:rsid w:val="7DC648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8"/>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link w:val="1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99"/>
    <w:pPr>
      <w:widowControl/>
      <w:ind w:firstLine="567"/>
      <w:jc w:val="left"/>
    </w:pPr>
    <w:rPr>
      <w:rFonts w:ascii="Times New Roman" w:hAnsi="Times New Roman" w:eastAsia="宋体" w:cs="Times New Roman"/>
      <w:bCs/>
      <w:kern w:val="0"/>
      <w:sz w:val="24"/>
      <w:szCs w:val="24"/>
    </w:rPr>
  </w:style>
  <w:style w:type="paragraph" w:styleId="5">
    <w:name w:val="Document Map"/>
    <w:basedOn w:val="1"/>
    <w:link w:val="22"/>
    <w:semiHidden/>
    <w:unhideWhenUsed/>
    <w:qFormat/>
    <w:uiPriority w:val="99"/>
    <w:rPr>
      <w:rFonts w:ascii="宋体" w:eastAsia="宋体"/>
      <w:sz w:val="18"/>
      <w:szCs w:val="18"/>
    </w:rPr>
  </w:style>
  <w:style w:type="paragraph" w:styleId="6">
    <w:name w:val="Balloon Text"/>
    <w:basedOn w:val="1"/>
    <w:link w:val="23"/>
    <w:semiHidden/>
    <w:unhideWhenUsed/>
    <w:qFormat/>
    <w:uiPriority w:val="99"/>
    <w:rPr>
      <w:sz w:val="18"/>
      <w:szCs w:val="18"/>
    </w:rPr>
  </w:style>
  <w:style w:type="paragraph" w:styleId="7">
    <w:name w:val="footer"/>
    <w:basedOn w:val="1"/>
    <w:link w:val="21"/>
    <w:unhideWhenUsed/>
    <w:qFormat/>
    <w:uiPriority w:val="0"/>
    <w:pPr>
      <w:tabs>
        <w:tab w:val="center" w:pos="4153"/>
        <w:tab w:val="right" w:pos="8306"/>
      </w:tabs>
      <w:snapToGrid w:val="0"/>
      <w:jc w:val="left"/>
    </w:pPr>
    <w:rPr>
      <w:sz w:val="18"/>
      <w:szCs w:val="18"/>
    </w:rPr>
  </w:style>
  <w:style w:type="paragraph" w:styleId="8">
    <w:name w:val="header"/>
    <w:basedOn w:val="1"/>
    <w:link w:val="20"/>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3">
    <w:name w:val="Table Grid"/>
    <w:basedOn w:val="1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22"/>
    <w:rPr>
      <w:b/>
      <w:bCs/>
    </w:rPr>
  </w:style>
  <w:style w:type="character" w:styleId="16">
    <w:name w:val="Emphasis"/>
    <w:basedOn w:val="14"/>
    <w:qFormat/>
    <w:uiPriority w:val="20"/>
    <w:rPr>
      <w:i/>
      <w:iCs/>
    </w:rPr>
  </w:style>
  <w:style w:type="character" w:styleId="17">
    <w:name w:val="Hyperlink"/>
    <w:basedOn w:val="14"/>
    <w:unhideWhenUsed/>
    <w:qFormat/>
    <w:uiPriority w:val="99"/>
    <w:rPr>
      <w:color w:val="0000FF" w:themeColor="hyperlink"/>
      <w:u w:val="single"/>
      <w14:textFill>
        <w14:solidFill>
          <w14:schemeClr w14:val="hlink"/>
        </w14:solidFill>
      </w14:textFill>
    </w:rPr>
  </w:style>
  <w:style w:type="character" w:customStyle="1" w:styleId="18">
    <w:name w:val="标题 2 Char"/>
    <w:basedOn w:val="14"/>
    <w:link w:val="2"/>
    <w:qFormat/>
    <w:uiPriority w:val="9"/>
    <w:rPr>
      <w:rFonts w:ascii="宋体" w:hAnsi="宋体" w:eastAsia="宋体" w:cs="宋体"/>
      <w:b/>
      <w:bCs/>
      <w:kern w:val="0"/>
      <w:sz w:val="36"/>
      <w:szCs w:val="36"/>
    </w:rPr>
  </w:style>
  <w:style w:type="character" w:customStyle="1" w:styleId="19">
    <w:name w:val="标题 3 Char"/>
    <w:basedOn w:val="14"/>
    <w:link w:val="3"/>
    <w:qFormat/>
    <w:uiPriority w:val="9"/>
    <w:rPr>
      <w:b/>
      <w:bCs/>
      <w:sz w:val="32"/>
      <w:szCs w:val="32"/>
    </w:rPr>
  </w:style>
  <w:style w:type="character" w:customStyle="1" w:styleId="20">
    <w:name w:val="页眉 Char"/>
    <w:basedOn w:val="14"/>
    <w:link w:val="8"/>
    <w:qFormat/>
    <w:uiPriority w:val="0"/>
    <w:rPr>
      <w:sz w:val="18"/>
      <w:szCs w:val="18"/>
    </w:rPr>
  </w:style>
  <w:style w:type="character" w:customStyle="1" w:styleId="21">
    <w:name w:val="页脚 Char"/>
    <w:basedOn w:val="14"/>
    <w:link w:val="7"/>
    <w:qFormat/>
    <w:uiPriority w:val="0"/>
    <w:rPr>
      <w:sz w:val="18"/>
      <w:szCs w:val="18"/>
    </w:rPr>
  </w:style>
  <w:style w:type="character" w:customStyle="1" w:styleId="22">
    <w:name w:val="文档结构图 Char"/>
    <w:basedOn w:val="14"/>
    <w:link w:val="5"/>
    <w:semiHidden/>
    <w:qFormat/>
    <w:uiPriority w:val="99"/>
    <w:rPr>
      <w:rFonts w:ascii="宋体" w:eastAsia="宋体"/>
      <w:sz w:val="18"/>
      <w:szCs w:val="18"/>
    </w:rPr>
  </w:style>
  <w:style w:type="character" w:customStyle="1" w:styleId="23">
    <w:name w:val="批注框文本 Char"/>
    <w:basedOn w:val="14"/>
    <w:link w:val="6"/>
    <w:semiHidden/>
    <w:qFormat/>
    <w:uiPriority w:val="99"/>
    <w:rPr>
      <w:sz w:val="18"/>
      <w:szCs w:val="18"/>
    </w:rPr>
  </w:style>
  <w:style w:type="paragraph" w:styleId="24">
    <w:name w:val="List Paragraph"/>
    <w:basedOn w:val="1"/>
    <w:qFormat/>
    <w:uiPriority w:val="34"/>
    <w:pPr>
      <w:ind w:firstLine="420" w:firstLineChars="200"/>
    </w:pPr>
  </w:style>
  <w:style w:type="paragraph" w:customStyle="1" w:styleId="25">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Calibri" w:hAnsi="Calibri" w:eastAsia="宋体" w:cs="Times New Roman"/>
      <w:szCs w:val="24"/>
    </w:rPr>
  </w:style>
  <w:style w:type="paragraph" w:customStyle="1" w:styleId="26">
    <w:name w:val="正文缩进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B7161C5-DF64-4B57-8E4D-8865B6E7B35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73</Pages>
  <Words>7498</Words>
  <Characters>42742</Characters>
  <Lines>356</Lines>
  <Paragraphs>100</Paragraphs>
  <TotalTime>4</TotalTime>
  <ScaleCrop>false</ScaleCrop>
  <LinksUpToDate>false</LinksUpToDate>
  <CharactersWithSpaces>50140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2021-01-30T07:11:00Z</dcterms:created>
  <dc:creator>微软用户</dc:creator>
  <cp:lastModifiedBy>jlancat</cp:lastModifiedBy>
  <cp:lastPrinted>2021-04-26T02:33:00Z</cp:lastPrinted>
  <dcterms:modified xsi:type="dcterms:W3CDTF">2021-04-26T06:54:28Z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18E1148AD23A4EC0AEE885F113F86B5C</vt:lpwstr>
  </property>
</Properties>
</file>