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w:t>
      </w:r>
    </w:p>
    <w:p>
      <w:pPr>
        <w:jc w:val="center"/>
        <w:rPr>
          <w:b/>
          <w:sz w:val="44"/>
          <w:szCs w:val="44"/>
        </w:rPr>
      </w:pPr>
    </w:p>
    <w:p>
      <w:pPr>
        <w:spacing w:line="1100" w:lineRule="exact"/>
        <w:jc w:val="center"/>
        <w:rPr>
          <w:rFonts w:hint="eastAsia" w:ascii="方正小标宋简体" w:hAnsi="方正小标宋简体" w:eastAsia="方正小标宋简体" w:cs="方正小标宋简体"/>
          <w:bCs/>
          <w:color w:val="000000" w:themeColor="text1"/>
          <w:sz w:val="66"/>
          <w:szCs w:val="66"/>
          <w14:textFill>
            <w14:solidFill>
              <w14:schemeClr w14:val="tx1"/>
            </w14:solidFill>
          </w14:textFill>
        </w:rPr>
      </w:pPr>
      <w:r>
        <w:rPr>
          <w:rFonts w:hint="eastAsia" w:ascii="方正小标宋简体" w:hAnsi="方正小标宋简体" w:eastAsia="方正小标宋简体" w:cs="方正小标宋简体"/>
          <w:bCs/>
          <w:color w:val="000000" w:themeColor="text1"/>
          <w:sz w:val="66"/>
          <w:szCs w:val="66"/>
          <w14:textFill>
            <w14:solidFill>
              <w14:schemeClr w14:val="tx1"/>
            </w14:solidFill>
          </w14:textFill>
        </w:rPr>
        <w:t>台州市社会发展</w:t>
      </w:r>
    </w:p>
    <w:p>
      <w:pPr>
        <w:spacing w:line="1100" w:lineRule="exact"/>
        <w:jc w:val="center"/>
        <w:rPr>
          <w:rFonts w:hint="eastAsia" w:ascii="方正小标宋简体" w:hAnsi="方正小标宋简体" w:eastAsia="方正小标宋简体" w:cs="方正小标宋简体"/>
          <w:bCs/>
          <w:color w:val="000000" w:themeColor="text1"/>
          <w:sz w:val="66"/>
          <w:szCs w:val="66"/>
          <w14:textFill>
            <w14:solidFill>
              <w14:schemeClr w14:val="tx1"/>
            </w14:solidFill>
          </w14:textFill>
        </w:rPr>
      </w:pPr>
      <w:r>
        <w:rPr>
          <w:rFonts w:hint="eastAsia" w:ascii="方正小标宋简体" w:hAnsi="方正小标宋简体" w:eastAsia="方正小标宋简体" w:cs="方正小标宋简体"/>
          <w:bCs/>
          <w:color w:val="000000" w:themeColor="text1"/>
          <w:sz w:val="66"/>
          <w:szCs w:val="66"/>
          <w14:textFill>
            <w14:solidFill>
              <w14:schemeClr w14:val="tx1"/>
            </w14:solidFill>
          </w14:textFill>
        </w:rPr>
        <w:t>“十四五”规划</w:t>
      </w:r>
    </w:p>
    <w:p>
      <w:pPr>
        <w:spacing w:line="1100" w:lineRule="exact"/>
        <w:jc w:val="center"/>
        <w:rPr>
          <w:rFonts w:hint="eastAsia" w:ascii="楷体_GB2312" w:hAnsi="楷体_GB2312" w:eastAsia="楷体_GB2312" w:cs="楷体_GB2312"/>
          <w:bCs/>
          <w:color w:val="000000" w:themeColor="text1"/>
          <w:sz w:val="32"/>
          <w:szCs w:val="32"/>
          <w:lang w:eastAsia="zh-CN"/>
          <w14:textFill>
            <w14:solidFill>
              <w14:schemeClr w14:val="tx1"/>
            </w14:solidFill>
          </w14:textFill>
        </w:rPr>
      </w:pPr>
      <w:r>
        <w:rPr>
          <w:rFonts w:hint="eastAsia" w:ascii="楷体_GB2312" w:hAnsi="楷体_GB2312" w:eastAsia="楷体_GB2312" w:cs="楷体_GB2312"/>
          <w:bCs/>
          <w:color w:val="000000" w:themeColor="text1"/>
          <w:sz w:val="32"/>
          <w:szCs w:val="32"/>
          <w:lang w:eastAsia="zh-CN"/>
          <w14:textFill>
            <w14:solidFill>
              <w14:schemeClr w14:val="tx1"/>
            </w14:solidFill>
          </w14:textFill>
        </w:rPr>
        <w:t>（征求意见稿）</w:t>
      </w: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both"/>
        <w:rPr>
          <w:b/>
          <w:sz w:val="44"/>
          <w:szCs w:val="44"/>
        </w:rPr>
      </w:pPr>
    </w:p>
    <w:p>
      <w:pPr>
        <w:jc w:val="center"/>
        <w:rPr>
          <w:rFonts w:ascii="黑体" w:hAnsi="黑体" w:eastAsia="黑体" w:cs="黑体"/>
          <w:bCs/>
          <w:color w:val="000000" w:themeColor="text1"/>
          <w:sz w:val="36"/>
          <w:szCs w:val="36"/>
          <w14:textFill>
            <w14:solidFill>
              <w14:schemeClr w14:val="tx1"/>
            </w14:solidFill>
          </w14:textFill>
        </w:rPr>
      </w:pPr>
    </w:p>
    <w:p>
      <w:pPr>
        <w:jc w:val="center"/>
        <w:rPr>
          <w:rFonts w:ascii="黑体" w:hAnsi="黑体" w:eastAsia="黑体" w:cs="黑体"/>
          <w:bCs/>
          <w:color w:val="000000" w:themeColor="text1"/>
          <w:sz w:val="36"/>
          <w:szCs w:val="36"/>
          <w14:textFill>
            <w14:solidFill>
              <w14:schemeClr w14:val="tx1"/>
            </w14:solidFill>
          </w14:textFill>
        </w:rPr>
      </w:pPr>
      <w:r>
        <w:rPr>
          <w:rFonts w:hint="eastAsia" w:ascii="黑体" w:hAnsi="黑体" w:eastAsia="黑体" w:cs="黑体"/>
          <w:bCs/>
          <w:color w:val="000000" w:themeColor="text1"/>
          <w:sz w:val="36"/>
          <w:szCs w:val="36"/>
          <w14:textFill>
            <w14:solidFill>
              <w14:schemeClr w14:val="tx1"/>
            </w14:solidFill>
          </w14:textFill>
        </w:rPr>
        <w:t>台州市发展和改革委员会</w:t>
      </w:r>
    </w:p>
    <w:p>
      <w:pPr>
        <w:jc w:val="center"/>
        <w:rPr>
          <w:rFonts w:ascii="黑体" w:hAnsi="黑体" w:eastAsia="黑体" w:cs="黑体"/>
          <w:bCs/>
          <w:color w:val="000000" w:themeColor="text1"/>
          <w:sz w:val="36"/>
          <w:szCs w:val="36"/>
          <w14:textFill>
            <w14:solidFill>
              <w14:schemeClr w14:val="tx1"/>
            </w14:solidFill>
          </w14:textFill>
        </w:rPr>
      </w:pPr>
      <w:r>
        <w:rPr>
          <w:rFonts w:hint="eastAsia" w:ascii="黑体" w:hAnsi="黑体" w:eastAsia="黑体" w:cs="黑体"/>
          <w:bCs/>
          <w:color w:val="000000" w:themeColor="text1"/>
          <w:sz w:val="36"/>
          <w:szCs w:val="36"/>
          <w14:textFill>
            <w14:solidFill>
              <w14:schemeClr w14:val="tx1"/>
            </w14:solidFill>
          </w14:textFill>
        </w:rPr>
        <w:t>2021年4月</w:t>
      </w:r>
    </w:p>
    <w:p>
      <w:pPr>
        <w:jc w:val="center"/>
        <w:rPr>
          <w:b/>
          <w:sz w:val="32"/>
          <w:szCs w:val="32"/>
        </w:rPr>
      </w:pPr>
    </w:p>
    <w:p>
      <w:pPr>
        <w:spacing w:line="60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p>
      <w:pPr>
        <w:spacing w:line="60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spacing w:line="60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目  录</w:t>
      </w:r>
    </w:p>
    <w:p>
      <w:pPr>
        <w:jc w:val="center"/>
        <w:rPr>
          <w:b/>
          <w:sz w:val="32"/>
          <w:szCs w:val="32"/>
        </w:rPr>
      </w:pPr>
    </w:p>
    <w:p>
      <w:pPr>
        <w:pStyle w:val="11"/>
        <w:rPr>
          <w:rStyle w:val="20"/>
        </w:rPr>
      </w:pPr>
      <w:r>
        <w:rPr>
          <w:rFonts w:hint="eastAsia"/>
        </w:rPr>
        <w:fldChar w:fldCharType="begin"/>
      </w:r>
      <w:r>
        <w:rPr>
          <w:rFonts w:hint="eastAsia"/>
        </w:rPr>
        <w:instrText xml:space="preserve"> TOC \o "1-3" \h \z \u </w:instrText>
      </w:r>
      <w:r>
        <w:rPr>
          <w:rFonts w:hint="eastAsia"/>
        </w:rPr>
        <w:fldChar w:fldCharType="separate"/>
      </w:r>
      <w:r>
        <w:fldChar w:fldCharType="begin"/>
      </w:r>
      <w:r>
        <w:instrText xml:space="preserve"> HYPERLINK \l "_Toc69259709" </w:instrText>
      </w:r>
      <w:r>
        <w:fldChar w:fldCharType="separate"/>
      </w:r>
      <w:r>
        <w:rPr>
          <w:rStyle w:val="20"/>
          <w:rFonts w:hint="eastAsia"/>
        </w:rPr>
        <w:t>一、发展基础</w:t>
      </w:r>
      <w:r>
        <w:rPr>
          <w:rStyle w:val="20"/>
          <w:rFonts w:hint="eastAsia"/>
        </w:rPr>
        <w:tab/>
      </w:r>
      <w:r>
        <w:rPr>
          <w:rStyle w:val="20"/>
          <w:rFonts w:hint="eastAsia"/>
        </w:rPr>
        <w:fldChar w:fldCharType="begin"/>
      </w:r>
      <w:r>
        <w:rPr>
          <w:rStyle w:val="20"/>
          <w:rFonts w:hint="eastAsia"/>
        </w:rPr>
        <w:instrText xml:space="preserve"> PAGEREF _Toc69259709 \h </w:instrText>
      </w:r>
      <w:r>
        <w:rPr>
          <w:rStyle w:val="20"/>
          <w:rFonts w:hint="eastAsia"/>
        </w:rPr>
        <w:fldChar w:fldCharType="separate"/>
      </w:r>
      <w:r>
        <w:rPr>
          <w:rStyle w:val="20"/>
        </w:rPr>
        <w:t>1</w:t>
      </w:r>
      <w:r>
        <w:rPr>
          <w:rStyle w:val="20"/>
          <w:rFonts w:hint="eastAsia"/>
        </w:rPr>
        <w:fldChar w:fldCharType="end"/>
      </w:r>
      <w:r>
        <w:rPr>
          <w:rStyle w:val="20"/>
          <w:rFonts w:hint="eastAsia"/>
        </w:rPr>
        <w:fldChar w:fldCharType="end"/>
      </w:r>
    </w:p>
    <w:p>
      <w:pPr>
        <w:pStyle w:val="13"/>
        <w:tabs>
          <w:tab w:val="right" w:leader="dot" w:pos="8296"/>
        </w:tabs>
        <w:rPr>
          <w:rFonts w:ascii="楷体" w:hAnsi="楷体" w:eastAsia="楷体"/>
          <w:sz w:val="32"/>
          <w:szCs w:val="32"/>
        </w:rPr>
      </w:pPr>
      <w:r>
        <w:fldChar w:fldCharType="begin"/>
      </w:r>
      <w:r>
        <w:instrText xml:space="preserve"> HYPERLINK \l "_Toc69259710" </w:instrText>
      </w:r>
      <w:r>
        <w:fldChar w:fldCharType="separate"/>
      </w:r>
      <w:r>
        <w:rPr>
          <w:rStyle w:val="20"/>
          <w:rFonts w:hint="eastAsia" w:ascii="楷体" w:hAnsi="楷体" w:eastAsia="楷体"/>
          <w:sz w:val="32"/>
          <w:szCs w:val="32"/>
        </w:rPr>
        <w:t>（一）发展成就</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_Toc69259710 \h </w:instrText>
      </w:r>
      <w:r>
        <w:rPr>
          <w:rFonts w:hint="eastAsia" w:ascii="楷体" w:hAnsi="楷体" w:eastAsia="楷体"/>
          <w:sz w:val="32"/>
          <w:szCs w:val="32"/>
        </w:rPr>
        <w:fldChar w:fldCharType="separate"/>
      </w:r>
      <w:r>
        <w:rPr>
          <w:rFonts w:ascii="楷体" w:hAnsi="楷体" w:eastAsia="楷体"/>
          <w:sz w:val="32"/>
          <w:szCs w:val="32"/>
        </w:rPr>
        <w:t>1</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13"/>
        <w:tabs>
          <w:tab w:val="right" w:leader="dot" w:pos="8296"/>
        </w:tabs>
        <w:rPr>
          <w:rFonts w:ascii="楷体" w:hAnsi="楷体" w:eastAsia="楷体"/>
          <w:sz w:val="32"/>
          <w:szCs w:val="32"/>
        </w:rPr>
      </w:pPr>
      <w:r>
        <w:fldChar w:fldCharType="begin"/>
      </w:r>
      <w:r>
        <w:instrText xml:space="preserve"> HYPERLINK \l "_Toc69259711" </w:instrText>
      </w:r>
      <w:r>
        <w:fldChar w:fldCharType="separate"/>
      </w:r>
      <w:r>
        <w:rPr>
          <w:rStyle w:val="20"/>
          <w:rFonts w:hint="eastAsia" w:ascii="楷体" w:hAnsi="楷体" w:eastAsia="楷体"/>
          <w:sz w:val="32"/>
          <w:szCs w:val="32"/>
        </w:rPr>
        <w:t>（二）发展形势</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_Toc69259711 \h </w:instrText>
      </w:r>
      <w:r>
        <w:rPr>
          <w:rFonts w:hint="eastAsia" w:ascii="楷体" w:hAnsi="楷体" w:eastAsia="楷体"/>
          <w:sz w:val="32"/>
          <w:szCs w:val="32"/>
        </w:rPr>
        <w:fldChar w:fldCharType="separate"/>
      </w:r>
      <w:r>
        <w:rPr>
          <w:rFonts w:ascii="楷体" w:hAnsi="楷体" w:eastAsia="楷体"/>
          <w:sz w:val="32"/>
          <w:szCs w:val="32"/>
        </w:rPr>
        <w:t>5</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11"/>
        <w:rPr>
          <w:rStyle w:val="20"/>
        </w:rPr>
      </w:pPr>
      <w:r>
        <w:fldChar w:fldCharType="begin"/>
      </w:r>
      <w:r>
        <w:instrText xml:space="preserve"> HYPERLINK \l "_Toc69259712" </w:instrText>
      </w:r>
      <w:r>
        <w:fldChar w:fldCharType="separate"/>
      </w:r>
      <w:r>
        <w:rPr>
          <w:rStyle w:val="20"/>
          <w:rFonts w:hint="eastAsia"/>
        </w:rPr>
        <w:t>二、发展愿景</w:t>
      </w:r>
      <w:r>
        <w:rPr>
          <w:rStyle w:val="20"/>
          <w:rFonts w:hint="eastAsia"/>
        </w:rPr>
        <w:tab/>
      </w:r>
      <w:r>
        <w:rPr>
          <w:rStyle w:val="20"/>
          <w:rFonts w:hint="eastAsia"/>
        </w:rPr>
        <w:fldChar w:fldCharType="begin"/>
      </w:r>
      <w:r>
        <w:rPr>
          <w:rStyle w:val="20"/>
          <w:rFonts w:hint="eastAsia"/>
        </w:rPr>
        <w:instrText xml:space="preserve"> PAGEREF _Toc69259712 \h </w:instrText>
      </w:r>
      <w:r>
        <w:rPr>
          <w:rStyle w:val="20"/>
          <w:rFonts w:hint="eastAsia"/>
        </w:rPr>
        <w:fldChar w:fldCharType="separate"/>
      </w:r>
      <w:r>
        <w:rPr>
          <w:rStyle w:val="20"/>
        </w:rPr>
        <w:t>7</w:t>
      </w:r>
      <w:r>
        <w:rPr>
          <w:rStyle w:val="20"/>
          <w:rFonts w:hint="eastAsia"/>
        </w:rPr>
        <w:fldChar w:fldCharType="end"/>
      </w:r>
      <w:r>
        <w:rPr>
          <w:rStyle w:val="20"/>
          <w:rFonts w:hint="eastAsia"/>
        </w:rPr>
        <w:fldChar w:fldCharType="end"/>
      </w:r>
    </w:p>
    <w:p>
      <w:pPr>
        <w:pStyle w:val="13"/>
        <w:tabs>
          <w:tab w:val="right" w:leader="dot" w:pos="8296"/>
        </w:tabs>
        <w:rPr>
          <w:rStyle w:val="20"/>
          <w:rFonts w:ascii="楷体" w:hAnsi="楷体" w:eastAsia="楷体"/>
          <w:sz w:val="32"/>
          <w:szCs w:val="32"/>
        </w:rPr>
      </w:pPr>
      <w:r>
        <w:fldChar w:fldCharType="begin"/>
      </w:r>
      <w:r>
        <w:instrText xml:space="preserve"> HYPERLINK \l "_Toc69259713" </w:instrText>
      </w:r>
      <w:r>
        <w:fldChar w:fldCharType="separate"/>
      </w:r>
      <w:r>
        <w:rPr>
          <w:rStyle w:val="20"/>
          <w:rFonts w:hint="eastAsia" w:ascii="楷体" w:hAnsi="楷体" w:eastAsia="楷体"/>
          <w:sz w:val="32"/>
          <w:szCs w:val="32"/>
        </w:rPr>
        <w:t>（一）指导思想</w:t>
      </w:r>
      <w:r>
        <w:rPr>
          <w:rStyle w:val="20"/>
          <w:rFonts w:ascii="楷体" w:hAnsi="楷体" w:eastAsia="楷体"/>
          <w:sz w:val="32"/>
          <w:szCs w:val="32"/>
        </w:rPr>
        <w:tab/>
      </w:r>
      <w:r>
        <w:rPr>
          <w:rStyle w:val="20"/>
          <w:rFonts w:ascii="楷体" w:hAnsi="楷体" w:eastAsia="楷体"/>
          <w:sz w:val="32"/>
          <w:szCs w:val="32"/>
        </w:rPr>
        <w:fldChar w:fldCharType="begin"/>
      </w:r>
      <w:r>
        <w:rPr>
          <w:rStyle w:val="20"/>
          <w:rFonts w:ascii="楷体" w:hAnsi="楷体" w:eastAsia="楷体"/>
          <w:sz w:val="32"/>
          <w:szCs w:val="32"/>
        </w:rPr>
        <w:instrText xml:space="preserve"> PAGEREF _Toc69259713 \h </w:instrText>
      </w:r>
      <w:r>
        <w:rPr>
          <w:rStyle w:val="20"/>
          <w:rFonts w:ascii="楷体" w:hAnsi="楷体" w:eastAsia="楷体"/>
          <w:sz w:val="32"/>
          <w:szCs w:val="32"/>
        </w:rPr>
        <w:fldChar w:fldCharType="separate"/>
      </w:r>
      <w:r>
        <w:rPr>
          <w:rStyle w:val="20"/>
          <w:rFonts w:ascii="楷体" w:hAnsi="楷体" w:eastAsia="楷体"/>
          <w:sz w:val="32"/>
          <w:szCs w:val="32"/>
        </w:rPr>
        <w:t>7</w:t>
      </w:r>
      <w:r>
        <w:rPr>
          <w:rStyle w:val="20"/>
          <w:rFonts w:ascii="楷体" w:hAnsi="楷体" w:eastAsia="楷体"/>
          <w:sz w:val="32"/>
          <w:szCs w:val="32"/>
        </w:rPr>
        <w:fldChar w:fldCharType="end"/>
      </w:r>
      <w:r>
        <w:rPr>
          <w:rStyle w:val="20"/>
          <w:rFonts w:ascii="楷体" w:hAnsi="楷体" w:eastAsia="楷体"/>
          <w:sz w:val="32"/>
          <w:szCs w:val="32"/>
        </w:rPr>
        <w:fldChar w:fldCharType="end"/>
      </w:r>
    </w:p>
    <w:p>
      <w:pPr>
        <w:pStyle w:val="13"/>
        <w:tabs>
          <w:tab w:val="right" w:leader="dot" w:pos="8296"/>
        </w:tabs>
        <w:rPr>
          <w:rStyle w:val="20"/>
          <w:rFonts w:ascii="楷体" w:hAnsi="楷体" w:eastAsia="楷体"/>
          <w:sz w:val="32"/>
          <w:szCs w:val="32"/>
        </w:rPr>
      </w:pPr>
      <w:r>
        <w:fldChar w:fldCharType="begin"/>
      </w:r>
      <w:r>
        <w:instrText xml:space="preserve"> HYPERLINK \l "_Toc69259714" </w:instrText>
      </w:r>
      <w:r>
        <w:fldChar w:fldCharType="separate"/>
      </w:r>
      <w:r>
        <w:rPr>
          <w:rStyle w:val="20"/>
          <w:rFonts w:hint="eastAsia" w:ascii="楷体" w:hAnsi="楷体" w:eastAsia="楷体"/>
          <w:sz w:val="32"/>
          <w:szCs w:val="32"/>
        </w:rPr>
        <w:t>（二）基本原则</w:t>
      </w:r>
      <w:r>
        <w:rPr>
          <w:rStyle w:val="20"/>
          <w:rFonts w:ascii="楷体" w:hAnsi="楷体" w:eastAsia="楷体"/>
          <w:sz w:val="32"/>
          <w:szCs w:val="32"/>
        </w:rPr>
        <w:tab/>
      </w:r>
      <w:r>
        <w:rPr>
          <w:rStyle w:val="20"/>
          <w:rFonts w:ascii="楷体" w:hAnsi="楷体" w:eastAsia="楷体"/>
          <w:sz w:val="32"/>
          <w:szCs w:val="32"/>
        </w:rPr>
        <w:fldChar w:fldCharType="begin"/>
      </w:r>
      <w:r>
        <w:rPr>
          <w:rStyle w:val="20"/>
          <w:rFonts w:ascii="楷体" w:hAnsi="楷体" w:eastAsia="楷体"/>
          <w:sz w:val="32"/>
          <w:szCs w:val="32"/>
        </w:rPr>
        <w:instrText xml:space="preserve"> PAGEREF _Toc69259714 \h </w:instrText>
      </w:r>
      <w:r>
        <w:rPr>
          <w:rStyle w:val="20"/>
          <w:rFonts w:ascii="楷体" w:hAnsi="楷体" w:eastAsia="楷体"/>
          <w:sz w:val="32"/>
          <w:szCs w:val="32"/>
        </w:rPr>
        <w:fldChar w:fldCharType="separate"/>
      </w:r>
      <w:r>
        <w:rPr>
          <w:rStyle w:val="20"/>
          <w:rFonts w:ascii="楷体" w:hAnsi="楷体" w:eastAsia="楷体"/>
          <w:sz w:val="32"/>
          <w:szCs w:val="32"/>
        </w:rPr>
        <w:t>7</w:t>
      </w:r>
      <w:r>
        <w:rPr>
          <w:rStyle w:val="20"/>
          <w:rFonts w:ascii="楷体" w:hAnsi="楷体" w:eastAsia="楷体"/>
          <w:sz w:val="32"/>
          <w:szCs w:val="32"/>
        </w:rPr>
        <w:fldChar w:fldCharType="end"/>
      </w:r>
      <w:r>
        <w:rPr>
          <w:rStyle w:val="20"/>
          <w:rFonts w:ascii="楷体" w:hAnsi="楷体" w:eastAsia="楷体"/>
          <w:sz w:val="32"/>
          <w:szCs w:val="32"/>
        </w:rPr>
        <w:fldChar w:fldCharType="end"/>
      </w:r>
    </w:p>
    <w:p>
      <w:pPr>
        <w:pStyle w:val="13"/>
        <w:tabs>
          <w:tab w:val="right" w:leader="dot" w:pos="8296"/>
        </w:tabs>
        <w:rPr>
          <w:rStyle w:val="20"/>
          <w:rFonts w:ascii="楷体" w:hAnsi="楷体" w:eastAsia="楷体"/>
          <w:sz w:val="32"/>
          <w:szCs w:val="32"/>
        </w:rPr>
      </w:pPr>
      <w:r>
        <w:fldChar w:fldCharType="begin"/>
      </w:r>
      <w:r>
        <w:instrText xml:space="preserve"> HYPERLINK \l "_Toc69259715" </w:instrText>
      </w:r>
      <w:r>
        <w:fldChar w:fldCharType="separate"/>
      </w:r>
      <w:r>
        <w:rPr>
          <w:rStyle w:val="20"/>
          <w:rFonts w:hint="eastAsia" w:ascii="楷体" w:hAnsi="楷体" w:eastAsia="楷体"/>
          <w:sz w:val="32"/>
          <w:szCs w:val="32"/>
        </w:rPr>
        <w:t>（三）发展目标</w:t>
      </w:r>
      <w:r>
        <w:rPr>
          <w:rStyle w:val="20"/>
          <w:rFonts w:ascii="楷体" w:hAnsi="楷体" w:eastAsia="楷体"/>
          <w:sz w:val="32"/>
          <w:szCs w:val="32"/>
        </w:rPr>
        <w:tab/>
      </w:r>
      <w:r>
        <w:rPr>
          <w:rStyle w:val="20"/>
          <w:rFonts w:ascii="楷体" w:hAnsi="楷体" w:eastAsia="楷体"/>
          <w:sz w:val="32"/>
          <w:szCs w:val="32"/>
        </w:rPr>
        <w:fldChar w:fldCharType="begin"/>
      </w:r>
      <w:r>
        <w:rPr>
          <w:rStyle w:val="20"/>
          <w:rFonts w:ascii="楷体" w:hAnsi="楷体" w:eastAsia="楷体"/>
          <w:sz w:val="32"/>
          <w:szCs w:val="32"/>
        </w:rPr>
        <w:instrText xml:space="preserve"> PAGEREF _Toc69259715 \h </w:instrText>
      </w:r>
      <w:r>
        <w:rPr>
          <w:rStyle w:val="20"/>
          <w:rFonts w:ascii="楷体" w:hAnsi="楷体" w:eastAsia="楷体"/>
          <w:sz w:val="32"/>
          <w:szCs w:val="32"/>
        </w:rPr>
        <w:fldChar w:fldCharType="separate"/>
      </w:r>
      <w:r>
        <w:rPr>
          <w:rStyle w:val="20"/>
          <w:rFonts w:ascii="楷体" w:hAnsi="楷体" w:eastAsia="楷体"/>
          <w:sz w:val="32"/>
          <w:szCs w:val="32"/>
        </w:rPr>
        <w:t>8</w:t>
      </w:r>
      <w:r>
        <w:rPr>
          <w:rStyle w:val="20"/>
          <w:rFonts w:ascii="楷体" w:hAnsi="楷体" w:eastAsia="楷体"/>
          <w:sz w:val="32"/>
          <w:szCs w:val="32"/>
        </w:rPr>
        <w:fldChar w:fldCharType="end"/>
      </w:r>
      <w:r>
        <w:rPr>
          <w:rStyle w:val="20"/>
          <w:rFonts w:ascii="楷体" w:hAnsi="楷体" w:eastAsia="楷体"/>
          <w:sz w:val="32"/>
          <w:szCs w:val="32"/>
        </w:rPr>
        <w:fldChar w:fldCharType="end"/>
      </w:r>
    </w:p>
    <w:p>
      <w:pPr>
        <w:pStyle w:val="11"/>
      </w:pPr>
      <w:r>
        <w:fldChar w:fldCharType="begin"/>
      </w:r>
      <w:r>
        <w:instrText xml:space="preserve"> HYPERLINK \l "_Toc69259716" </w:instrText>
      </w:r>
      <w:r>
        <w:fldChar w:fldCharType="separate"/>
      </w:r>
      <w:r>
        <w:rPr>
          <w:rStyle w:val="20"/>
          <w:rFonts w:hint="eastAsia"/>
        </w:rPr>
        <w:t>三、主要任务</w:t>
      </w:r>
      <w:r>
        <w:rPr>
          <w:rFonts w:hint="eastAsia"/>
        </w:rPr>
        <w:tab/>
      </w:r>
      <w:r>
        <w:rPr>
          <w:rFonts w:hint="eastAsia"/>
        </w:rPr>
        <w:fldChar w:fldCharType="begin"/>
      </w:r>
      <w:r>
        <w:rPr>
          <w:rFonts w:hint="eastAsia"/>
        </w:rPr>
        <w:instrText xml:space="preserve"> PAGEREF _Toc69259716 \h </w:instrText>
      </w:r>
      <w:r>
        <w:rPr>
          <w:rFonts w:hint="eastAsia"/>
        </w:rPr>
        <w:fldChar w:fldCharType="separate"/>
      </w:r>
      <w:r>
        <w:t>11</w:t>
      </w:r>
      <w:r>
        <w:rPr>
          <w:rFonts w:hint="eastAsia"/>
        </w:rPr>
        <w:fldChar w:fldCharType="end"/>
      </w:r>
      <w:r>
        <w:rPr>
          <w:rFonts w:hint="eastAsia"/>
        </w:rPr>
        <w:fldChar w:fldCharType="end"/>
      </w:r>
    </w:p>
    <w:p>
      <w:pPr>
        <w:pStyle w:val="13"/>
        <w:tabs>
          <w:tab w:val="right" w:leader="dot" w:pos="8296"/>
        </w:tabs>
        <w:rPr>
          <w:rFonts w:ascii="楷体" w:hAnsi="楷体" w:eastAsia="楷体"/>
          <w:sz w:val="32"/>
          <w:szCs w:val="32"/>
        </w:rPr>
      </w:pPr>
      <w:r>
        <w:fldChar w:fldCharType="begin"/>
      </w:r>
      <w:r>
        <w:instrText xml:space="preserve"> HYPERLINK \l "_Toc69259717" </w:instrText>
      </w:r>
      <w:r>
        <w:fldChar w:fldCharType="separate"/>
      </w:r>
      <w:r>
        <w:rPr>
          <w:rStyle w:val="20"/>
          <w:rFonts w:hint="eastAsia" w:ascii="楷体" w:hAnsi="楷体" w:eastAsia="楷体"/>
          <w:sz w:val="32"/>
          <w:szCs w:val="32"/>
        </w:rPr>
        <w:t>（一）就业增收“富民”行动</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_Toc69259717 \h </w:instrText>
      </w:r>
      <w:r>
        <w:rPr>
          <w:rFonts w:hint="eastAsia" w:ascii="楷体" w:hAnsi="楷体" w:eastAsia="楷体"/>
          <w:sz w:val="32"/>
          <w:szCs w:val="32"/>
        </w:rPr>
        <w:fldChar w:fldCharType="separate"/>
      </w:r>
      <w:r>
        <w:rPr>
          <w:rFonts w:ascii="楷体" w:hAnsi="楷体" w:eastAsia="楷体"/>
          <w:sz w:val="32"/>
          <w:szCs w:val="32"/>
        </w:rPr>
        <w:t>11</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6"/>
        <w:tabs>
          <w:tab w:val="right" w:leader="dot" w:pos="8296"/>
        </w:tabs>
        <w:rPr>
          <w:rFonts w:ascii="楷体" w:hAnsi="楷体" w:eastAsia="楷体"/>
          <w:sz w:val="32"/>
          <w:szCs w:val="32"/>
        </w:rPr>
      </w:pPr>
      <w:r>
        <w:fldChar w:fldCharType="begin"/>
      </w:r>
      <w:r>
        <w:instrText xml:space="preserve"> HYPERLINK \l "_Toc69259718" </w:instrText>
      </w:r>
      <w:r>
        <w:fldChar w:fldCharType="separate"/>
      </w:r>
      <w:r>
        <w:rPr>
          <w:rStyle w:val="20"/>
          <w:rFonts w:hint="eastAsia" w:ascii="楷体" w:hAnsi="楷体" w:eastAsia="楷体" w:cs="Times New Roman"/>
          <w:sz w:val="32"/>
          <w:szCs w:val="32"/>
        </w:rPr>
        <w:t>1、完善高质量就业支持体系</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_Toc69259718 \h </w:instrText>
      </w:r>
      <w:r>
        <w:rPr>
          <w:rFonts w:hint="eastAsia" w:ascii="楷体" w:hAnsi="楷体" w:eastAsia="楷体"/>
          <w:sz w:val="32"/>
          <w:szCs w:val="32"/>
        </w:rPr>
        <w:fldChar w:fldCharType="separate"/>
      </w:r>
      <w:r>
        <w:rPr>
          <w:rFonts w:ascii="楷体" w:hAnsi="楷体" w:eastAsia="楷体"/>
          <w:sz w:val="32"/>
          <w:szCs w:val="32"/>
        </w:rPr>
        <w:t>11</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6"/>
        <w:tabs>
          <w:tab w:val="right" w:leader="dot" w:pos="8296"/>
        </w:tabs>
        <w:rPr>
          <w:rFonts w:ascii="楷体" w:hAnsi="楷体" w:eastAsia="楷体"/>
          <w:sz w:val="32"/>
          <w:szCs w:val="32"/>
        </w:rPr>
      </w:pPr>
      <w:r>
        <w:fldChar w:fldCharType="begin"/>
      </w:r>
      <w:r>
        <w:instrText xml:space="preserve"> HYPERLINK \l "_Toc69259719" </w:instrText>
      </w:r>
      <w:r>
        <w:fldChar w:fldCharType="separate"/>
      </w:r>
      <w:r>
        <w:rPr>
          <w:rStyle w:val="20"/>
          <w:rFonts w:hint="eastAsia" w:ascii="楷体" w:hAnsi="楷体" w:eastAsia="楷体"/>
          <w:sz w:val="32"/>
          <w:szCs w:val="32"/>
        </w:rPr>
        <w:t>2、完善持续增收的分配体系</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_Toc69259719 \h </w:instrText>
      </w:r>
      <w:r>
        <w:rPr>
          <w:rFonts w:hint="eastAsia" w:ascii="楷体" w:hAnsi="楷体" w:eastAsia="楷体"/>
          <w:sz w:val="32"/>
          <w:szCs w:val="32"/>
        </w:rPr>
        <w:fldChar w:fldCharType="separate"/>
      </w:r>
      <w:r>
        <w:rPr>
          <w:rFonts w:ascii="楷体" w:hAnsi="楷体" w:eastAsia="楷体"/>
          <w:sz w:val="32"/>
          <w:szCs w:val="32"/>
        </w:rPr>
        <w:t>13</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13"/>
        <w:tabs>
          <w:tab w:val="right" w:leader="dot" w:pos="8296"/>
        </w:tabs>
        <w:rPr>
          <w:rFonts w:ascii="楷体" w:hAnsi="楷体" w:eastAsia="楷体"/>
          <w:sz w:val="32"/>
          <w:szCs w:val="32"/>
        </w:rPr>
      </w:pPr>
      <w:r>
        <w:fldChar w:fldCharType="begin"/>
      </w:r>
      <w:r>
        <w:instrText xml:space="preserve"> HYPERLINK \l "_Toc69259720" </w:instrText>
      </w:r>
      <w:r>
        <w:fldChar w:fldCharType="separate"/>
      </w:r>
      <w:r>
        <w:rPr>
          <w:rStyle w:val="20"/>
          <w:rFonts w:hint="eastAsia" w:ascii="楷体" w:hAnsi="楷体" w:eastAsia="楷体"/>
          <w:sz w:val="32"/>
          <w:szCs w:val="32"/>
        </w:rPr>
        <w:t>（二）社会事业“惠民”行动</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_Toc69259720 \h </w:instrText>
      </w:r>
      <w:r>
        <w:rPr>
          <w:rFonts w:hint="eastAsia" w:ascii="楷体" w:hAnsi="楷体" w:eastAsia="楷体"/>
          <w:sz w:val="32"/>
          <w:szCs w:val="32"/>
        </w:rPr>
        <w:fldChar w:fldCharType="separate"/>
      </w:r>
      <w:r>
        <w:rPr>
          <w:rFonts w:ascii="楷体" w:hAnsi="楷体" w:eastAsia="楷体"/>
          <w:sz w:val="32"/>
          <w:szCs w:val="32"/>
        </w:rPr>
        <w:t>14</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6"/>
        <w:tabs>
          <w:tab w:val="right" w:leader="dot" w:pos="8296"/>
        </w:tabs>
        <w:rPr>
          <w:rFonts w:ascii="楷体" w:hAnsi="楷体" w:eastAsia="楷体"/>
          <w:sz w:val="32"/>
          <w:szCs w:val="32"/>
        </w:rPr>
      </w:pPr>
      <w:r>
        <w:fldChar w:fldCharType="begin"/>
      </w:r>
      <w:r>
        <w:instrText xml:space="preserve"> HYPERLINK \l "_Toc69259721" </w:instrText>
      </w:r>
      <w:r>
        <w:fldChar w:fldCharType="separate"/>
      </w:r>
      <w:r>
        <w:rPr>
          <w:rStyle w:val="20"/>
          <w:rFonts w:hint="eastAsia" w:ascii="楷体" w:hAnsi="楷体" w:eastAsia="楷体" w:cs="Times New Roman"/>
          <w:sz w:val="32"/>
          <w:szCs w:val="32"/>
        </w:rPr>
        <w:t>1、建设优质公平教育体系</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_Toc69259721 \h </w:instrText>
      </w:r>
      <w:r>
        <w:rPr>
          <w:rFonts w:hint="eastAsia" w:ascii="楷体" w:hAnsi="楷体" w:eastAsia="楷体"/>
          <w:sz w:val="32"/>
          <w:szCs w:val="32"/>
        </w:rPr>
        <w:fldChar w:fldCharType="separate"/>
      </w:r>
      <w:r>
        <w:rPr>
          <w:rFonts w:ascii="楷体" w:hAnsi="楷体" w:eastAsia="楷体"/>
          <w:sz w:val="32"/>
          <w:szCs w:val="32"/>
        </w:rPr>
        <w:t>14</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6"/>
        <w:tabs>
          <w:tab w:val="right" w:leader="dot" w:pos="8296"/>
        </w:tabs>
        <w:rPr>
          <w:rFonts w:ascii="楷体" w:hAnsi="楷体" w:eastAsia="楷体"/>
          <w:sz w:val="32"/>
          <w:szCs w:val="32"/>
        </w:rPr>
      </w:pPr>
      <w:r>
        <w:fldChar w:fldCharType="begin"/>
      </w:r>
      <w:r>
        <w:instrText xml:space="preserve"> HYPERLINK \l "_Toc69259722" </w:instrText>
      </w:r>
      <w:r>
        <w:fldChar w:fldCharType="separate"/>
      </w:r>
      <w:r>
        <w:rPr>
          <w:rStyle w:val="20"/>
          <w:rFonts w:hint="eastAsia" w:ascii="楷体" w:hAnsi="楷体" w:eastAsia="楷体" w:cs="Times New Roman"/>
          <w:sz w:val="32"/>
          <w:szCs w:val="32"/>
        </w:rPr>
        <w:t>2、建设均衡优质卫生体系</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_Toc69259722 \h </w:instrText>
      </w:r>
      <w:r>
        <w:rPr>
          <w:rFonts w:hint="eastAsia" w:ascii="楷体" w:hAnsi="楷体" w:eastAsia="楷体"/>
          <w:sz w:val="32"/>
          <w:szCs w:val="32"/>
        </w:rPr>
        <w:fldChar w:fldCharType="separate"/>
      </w:r>
      <w:r>
        <w:rPr>
          <w:rFonts w:ascii="楷体" w:hAnsi="楷体" w:eastAsia="楷体"/>
          <w:sz w:val="32"/>
          <w:szCs w:val="32"/>
        </w:rPr>
        <w:t>17</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6"/>
        <w:tabs>
          <w:tab w:val="right" w:leader="dot" w:pos="8296"/>
        </w:tabs>
        <w:rPr>
          <w:rFonts w:ascii="楷体" w:hAnsi="楷体" w:eastAsia="楷体"/>
          <w:sz w:val="32"/>
          <w:szCs w:val="32"/>
        </w:rPr>
      </w:pPr>
      <w:r>
        <w:fldChar w:fldCharType="begin"/>
      </w:r>
      <w:r>
        <w:instrText xml:space="preserve"> HYPERLINK \l "_Toc69259723" </w:instrText>
      </w:r>
      <w:r>
        <w:fldChar w:fldCharType="separate"/>
      </w:r>
      <w:r>
        <w:rPr>
          <w:rStyle w:val="20"/>
          <w:rFonts w:hint="eastAsia" w:ascii="楷体" w:hAnsi="楷体" w:eastAsia="楷体" w:cs="Times New Roman"/>
          <w:sz w:val="32"/>
          <w:szCs w:val="32"/>
        </w:rPr>
        <w:t>3、完善活力普惠文体服务</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_Toc69259723 \h </w:instrText>
      </w:r>
      <w:r>
        <w:rPr>
          <w:rFonts w:hint="eastAsia" w:ascii="楷体" w:hAnsi="楷体" w:eastAsia="楷体"/>
          <w:sz w:val="32"/>
          <w:szCs w:val="32"/>
        </w:rPr>
        <w:fldChar w:fldCharType="separate"/>
      </w:r>
      <w:r>
        <w:rPr>
          <w:rFonts w:ascii="楷体" w:hAnsi="楷体" w:eastAsia="楷体"/>
          <w:sz w:val="32"/>
          <w:szCs w:val="32"/>
        </w:rPr>
        <w:t>21</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13"/>
        <w:tabs>
          <w:tab w:val="right" w:leader="dot" w:pos="8296"/>
        </w:tabs>
        <w:rPr>
          <w:rFonts w:ascii="楷体" w:hAnsi="楷体" w:eastAsia="楷体"/>
          <w:sz w:val="32"/>
          <w:szCs w:val="32"/>
        </w:rPr>
      </w:pPr>
      <w:r>
        <w:fldChar w:fldCharType="begin"/>
      </w:r>
      <w:r>
        <w:instrText xml:space="preserve"> HYPERLINK \l "_Toc69259724" </w:instrText>
      </w:r>
      <w:r>
        <w:fldChar w:fldCharType="separate"/>
      </w:r>
      <w:r>
        <w:rPr>
          <w:rStyle w:val="20"/>
          <w:rFonts w:hint="eastAsia" w:ascii="楷体" w:hAnsi="楷体" w:eastAsia="楷体"/>
          <w:sz w:val="32"/>
          <w:szCs w:val="32"/>
        </w:rPr>
        <w:t>（三）社会保障“亲民”行动</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_Toc69259724 \h </w:instrText>
      </w:r>
      <w:r>
        <w:rPr>
          <w:rFonts w:hint="eastAsia" w:ascii="楷体" w:hAnsi="楷体" w:eastAsia="楷体"/>
          <w:sz w:val="32"/>
          <w:szCs w:val="32"/>
        </w:rPr>
        <w:fldChar w:fldCharType="separate"/>
      </w:r>
      <w:r>
        <w:rPr>
          <w:rFonts w:ascii="楷体" w:hAnsi="楷体" w:eastAsia="楷体"/>
          <w:sz w:val="32"/>
          <w:szCs w:val="32"/>
        </w:rPr>
        <w:t>24</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6"/>
        <w:tabs>
          <w:tab w:val="right" w:leader="dot" w:pos="8296"/>
        </w:tabs>
        <w:rPr>
          <w:rFonts w:ascii="楷体" w:hAnsi="楷体" w:eastAsia="楷体"/>
          <w:sz w:val="32"/>
          <w:szCs w:val="32"/>
        </w:rPr>
      </w:pPr>
      <w:r>
        <w:fldChar w:fldCharType="begin"/>
      </w:r>
      <w:r>
        <w:instrText xml:space="preserve"> HYPERLINK \l "_Toc69259725" </w:instrText>
      </w:r>
      <w:r>
        <w:fldChar w:fldCharType="separate"/>
      </w:r>
      <w:r>
        <w:rPr>
          <w:rStyle w:val="20"/>
          <w:rFonts w:hint="eastAsia" w:ascii="楷体" w:hAnsi="楷体" w:eastAsia="楷体" w:cs="Times New Roman"/>
          <w:sz w:val="32"/>
          <w:szCs w:val="32"/>
        </w:rPr>
        <w:t>1、完善婴幼保障</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_Toc69259725 \h </w:instrText>
      </w:r>
      <w:r>
        <w:rPr>
          <w:rFonts w:hint="eastAsia" w:ascii="楷体" w:hAnsi="楷体" w:eastAsia="楷体"/>
          <w:sz w:val="32"/>
          <w:szCs w:val="32"/>
        </w:rPr>
        <w:fldChar w:fldCharType="separate"/>
      </w:r>
      <w:r>
        <w:rPr>
          <w:rFonts w:ascii="楷体" w:hAnsi="楷体" w:eastAsia="楷体"/>
          <w:sz w:val="32"/>
          <w:szCs w:val="32"/>
        </w:rPr>
        <w:t>24</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6"/>
        <w:tabs>
          <w:tab w:val="right" w:leader="dot" w:pos="8296"/>
        </w:tabs>
        <w:rPr>
          <w:rFonts w:ascii="楷体" w:hAnsi="楷体" w:eastAsia="楷体"/>
          <w:sz w:val="32"/>
          <w:szCs w:val="32"/>
        </w:rPr>
      </w:pPr>
      <w:r>
        <w:fldChar w:fldCharType="begin"/>
      </w:r>
      <w:r>
        <w:instrText xml:space="preserve"> HYPERLINK \l "_Toc69259726" </w:instrText>
      </w:r>
      <w:r>
        <w:fldChar w:fldCharType="separate"/>
      </w:r>
      <w:r>
        <w:rPr>
          <w:rStyle w:val="20"/>
          <w:rFonts w:hint="eastAsia" w:ascii="楷体" w:hAnsi="楷体" w:eastAsia="楷体" w:cs="Times New Roman"/>
          <w:sz w:val="32"/>
          <w:szCs w:val="32"/>
        </w:rPr>
        <w:t>2、完善养老保障</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_Toc69259726 \h </w:instrText>
      </w:r>
      <w:r>
        <w:rPr>
          <w:rFonts w:hint="eastAsia" w:ascii="楷体" w:hAnsi="楷体" w:eastAsia="楷体"/>
          <w:sz w:val="32"/>
          <w:szCs w:val="32"/>
        </w:rPr>
        <w:fldChar w:fldCharType="separate"/>
      </w:r>
      <w:r>
        <w:rPr>
          <w:rFonts w:ascii="楷体" w:hAnsi="楷体" w:eastAsia="楷体"/>
          <w:sz w:val="32"/>
          <w:szCs w:val="32"/>
        </w:rPr>
        <w:t>26</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6"/>
        <w:tabs>
          <w:tab w:val="right" w:leader="dot" w:pos="8296"/>
        </w:tabs>
        <w:rPr>
          <w:rFonts w:ascii="楷体" w:hAnsi="楷体" w:eastAsia="楷体"/>
          <w:sz w:val="32"/>
          <w:szCs w:val="32"/>
        </w:rPr>
      </w:pPr>
      <w:r>
        <w:fldChar w:fldCharType="begin"/>
      </w:r>
      <w:r>
        <w:instrText xml:space="preserve"> HYPERLINK \l "_Toc69259727" </w:instrText>
      </w:r>
      <w:r>
        <w:fldChar w:fldCharType="separate"/>
      </w:r>
      <w:r>
        <w:rPr>
          <w:rStyle w:val="20"/>
          <w:rFonts w:hint="eastAsia" w:ascii="楷体" w:hAnsi="楷体" w:eastAsia="楷体" w:cs="Times New Roman"/>
          <w:sz w:val="32"/>
          <w:szCs w:val="32"/>
        </w:rPr>
        <w:t>3、完善住房保障</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_Toc69259727 \h </w:instrText>
      </w:r>
      <w:r>
        <w:rPr>
          <w:rFonts w:hint="eastAsia" w:ascii="楷体" w:hAnsi="楷体" w:eastAsia="楷体"/>
          <w:sz w:val="32"/>
          <w:szCs w:val="32"/>
        </w:rPr>
        <w:fldChar w:fldCharType="separate"/>
      </w:r>
      <w:r>
        <w:rPr>
          <w:rFonts w:ascii="楷体" w:hAnsi="楷体" w:eastAsia="楷体"/>
          <w:sz w:val="32"/>
          <w:szCs w:val="32"/>
        </w:rPr>
        <w:t>27</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6"/>
        <w:tabs>
          <w:tab w:val="right" w:leader="dot" w:pos="8296"/>
        </w:tabs>
        <w:rPr>
          <w:rFonts w:ascii="楷体" w:hAnsi="楷体" w:eastAsia="楷体"/>
          <w:sz w:val="32"/>
          <w:szCs w:val="32"/>
        </w:rPr>
      </w:pPr>
      <w:r>
        <w:fldChar w:fldCharType="begin"/>
      </w:r>
      <w:r>
        <w:instrText xml:space="preserve"> HYPERLINK \l "_Toc69259728" </w:instrText>
      </w:r>
      <w:r>
        <w:fldChar w:fldCharType="separate"/>
      </w:r>
      <w:r>
        <w:rPr>
          <w:rStyle w:val="20"/>
          <w:rFonts w:hint="eastAsia" w:ascii="楷体" w:hAnsi="楷体" w:eastAsia="楷体" w:cs="Times New Roman"/>
          <w:sz w:val="32"/>
          <w:szCs w:val="32"/>
        </w:rPr>
        <w:t>4、完善社会保障</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_Toc69259728 \h </w:instrText>
      </w:r>
      <w:r>
        <w:rPr>
          <w:rFonts w:hint="eastAsia" w:ascii="楷体" w:hAnsi="楷体" w:eastAsia="楷体"/>
          <w:sz w:val="32"/>
          <w:szCs w:val="32"/>
        </w:rPr>
        <w:fldChar w:fldCharType="separate"/>
      </w:r>
      <w:r>
        <w:rPr>
          <w:rFonts w:ascii="楷体" w:hAnsi="楷体" w:eastAsia="楷体"/>
          <w:sz w:val="32"/>
          <w:szCs w:val="32"/>
        </w:rPr>
        <w:t>29</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13"/>
        <w:tabs>
          <w:tab w:val="right" w:leader="dot" w:pos="8296"/>
        </w:tabs>
        <w:rPr>
          <w:rFonts w:ascii="楷体" w:hAnsi="楷体" w:eastAsia="楷体"/>
          <w:sz w:val="32"/>
          <w:szCs w:val="32"/>
        </w:rPr>
      </w:pPr>
      <w:r>
        <w:fldChar w:fldCharType="begin"/>
      </w:r>
      <w:r>
        <w:instrText xml:space="preserve"> HYPERLINK \l "_Toc69259729" </w:instrText>
      </w:r>
      <w:r>
        <w:fldChar w:fldCharType="separate"/>
      </w:r>
      <w:r>
        <w:rPr>
          <w:rStyle w:val="20"/>
          <w:rFonts w:hint="eastAsia" w:ascii="楷体" w:hAnsi="楷体" w:eastAsia="楷体"/>
          <w:sz w:val="32"/>
          <w:szCs w:val="32"/>
        </w:rPr>
        <w:t>（四）社会治理“安民”行动</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_Toc69259729 \h </w:instrText>
      </w:r>
      <w:r>
        <w:rPr>
          <w:rFonts w:hint="eastAsia" w:ascii="楷体" w:hAnsi="楷体" w:eastAsia="楷体"/>
          <w:sz w:val="32"/>
          <w:szCs w:val="32"/>
        </w:rPr>
        <w:fldChar w:fldCharType="separate"/>
      </w:r>
      <w:r>
        <w:rPr>
          <w:rFonts w:ascii="楷体" w:hAnsi="楷体" w:eastAsia="楷体"/>
          <w:sz w:val="32"/>
          <w:szCs w:val="32"/>
        </w:rPr>
        <w:t>31</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6"/>
        <w:tabs>
          <w:tab w:val="right" w:leader="dot" w:pos="8296"/>
        </w:tabs>
        <w:rPr>
          <w:rFonts w:ascii="楷体" w:hAnsi="楷体" w:eastAsia="楷体"/>
          <w:sz w:val="32"/>
          <w:szCs w:val="32"/>
        </w:rPr>
      </w:pPr>
      <w:r>
        <w:fldChar w:fldCharType="begin"/>
      </w:r>
      <w:r>
        <w:instrText xml:space="preserve"> HYPERLINK \l "_Toc69259730" </w:instrText>
      </w:r>
      <w:r>
        <w:fldChar w:fldCharType="separate"/>
      </w:r>
      <w:r>
        <w:rPr>
          <w:rStyle w:val="20"/>
          <w:rFonts w:hint="eastAsia" w:ascii="楷体" w:hAnsi="楷体" w:eastAsia="楷体"/>
          <w:sz w:val="32"/>
          <w:szCs w:val="32"/>
        </w:rPr>
        <w:t>1、</w:t>
      </w:r>
      <w:r>
        <w:rPr>
          <w:rStyle w:val="20"/>
          <w:rFonts w:hint="eastAsia" w:ascii="楷体" w:hAnsi="楷体" w:eastAsia="楷体"/>
          <w:bCs/>
          <w:sz w:val="32"/>
          <w:szCs w:val="32"/>
        </w:rPr>
        <w:t>推进社会治理领域</w:t>
      </w:r>
      <w:r>
        <w:rPr>
          <w:rStyle w:val="20"/>
          <w:rFonts w:hint="eastAsia" w:ascii="楷体" w:hAnsi="楷体" w:eastAsia="楷体" w:cs="Times New Roman"/>
          <w:bCs/>
          <w:sz w:val="32"/>
          <w:szCs w:val="32"/>
        </w:rPr>
        <w:t>“</w:t>
      </w:r>
      <w:r>
        <w:rPr>
          <w:rStyle w:val="20"/>
          <w:rFonts w:hint="eastAsia" w:ascii="楷体" w:hAnsi="楷体" w:eastAsia="楷体"/>
          <w:bCs/>
          <w:sz w:val="32"/>
          <w:szCs w:val="32"/>
        </w:rPr>
        <w:t>最多跑一地</w:t>
      </w:r>
      <w:r>
        <w:rPr>
          <w:rStyle w:val="20"/>
          <w:rFonts w:hint="eastAsia" w:ascii="楷体" w:hAnsi="楷体" w:eastAsia="楷体" w:cs="Times New Roman"/>
          <w:bCs/>
          <w:sz w:val="32"/>
          <w:szCs w:val="32"/>
        </w:rPr>
        <w:t>”</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_Toc69259730 \h </w:instrText>
      </w:r>
      <w:r>
        <w:rPr>
          <w:rFonts w:hint="eastAsia" w:ascii="楷体" w:hAnsi="楷体" w:eastAsia="楷体"/>
          <w:sz w:val="32"/>
          <w:szCs w:val="32"/>
        </w:rPr>
        <w:fldChar w:fldCharType="separate"/>
      </w:r>
      <w:r>
        <w:rPr>
          <w:rFonts w:ascii="楷体" w:hAnsi="楷体" w:eastAsia="楷体"/>
          <w:sz w:val="32"/>
          <w:szCs w:val="32"/>
        </w:rPr>
        <w:t>31</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6"/>
        <w:tabs>
          <w:tab w:val="right" w:leader="dot" w:pos="8296"/>
        </w:tabs>
        <w:rPr>
          <w:rFonts w:ascii="楷体" w:hAnsi="楷体" w:eastAsia="楷体"/>
          <w:sz w:val="32"/>
          <w:szCs w:val="32"/>
        </w:rPr>
      </w:pPr>
      <w:r>
        <w:fldChar w:fldCharType="begin"/>
      </w:r>
      <w:r>
        <w:instrText xml:space="preserve"> HYPERLINK \l "_Toc69259732" </w:instrText>
      </w:r>
      <w:r>
        <w:fldChar w:fldCharType="separate"/>
      </w:r>
      <w:r>
        <w:rPr>
          <w:rStyle w:val="20"/>
          <w:rFonts w:hint="eastAsia" w:ascii="楷体" w:hAnsi="楷体" w:eastAsia="楷体" w:cs="Times New Roman"/>
          <w:sz w:val="32"/>
          <w:szCs w:val="32"/>
        </w:rPr>
        <w:t>2、构建聚合性社区治理体系</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_Toc69259732 \h </w:instrText>
      </w:r>
      <w:r>
        <w:rPr>
          <w:rFonts w:hint="eastAsia" w:ascii="楷体" w:hAnsi="楷体" w:eastAsia="楷体"/>
          <w:sz w:val="32"/>
          <w:szCs w:val="32"/>
        </w:rPr>
        <w:fldChar w:fldCharType="separate"/>
      </w:r>
      <w:r>
        <w:rPr>
          <w:rFonts w:ascii="楷体" w:hAnsi="楷体" w:eastAsia="楷体"/>
          <w:sz w:val="32"/>
          <w:szCs w:val="32"/>
        </w:rPr>
        <w:t>32</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6"/>
        <w:tabs>
          <w:tab w:val="right" w:leader="dot" w:pos="8296"/>
        </w:tabs>
        <w:rPr>
          <w:rFonts w:ascii="楷体" w:hAnsi="楷体" w:eastAsia="楷体"/>
          <w:sz w:val="32"/>
          <w:szCs w:val="32"/>
        </w:rPr>
      </w:pPr>
      <w:r>
        <w:fldChar w:fldCharType="begin"/>
      </w:r>
      <w:r>
        <w:instrText xml:space="preserve"> HYPERLINK \l "_Toc69259733" </w:instrText>
      </w:r>
      <w:r>
        <w:fldChar w:fldCharType="separate"/>
      </w:r>
      <w:r>
        <w:rPr>
          <w:rStyle w:val="20"/>
          <w:rFonts w:hint="eastAsia" w:ascii="楷体" w:hAnsi="楷体" w:eastAsia="楷体" w:cs="Times New Roman"/>
          <w:sz w:val="32"/>
          <w:szCs w:val="32"/>
        </w:rPr>
        <w:t>3、推进平安台州建设</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_Toc69259733 \h </w:instrText>
      </w:r>
      <w:r>
        <w:rPr>
          <w:rFonts w:hint="eastAsia" w:ascii="楷体" w:hAnsi="楷体" w:eastAsia="楷体"/>
          <w:sz w:val="32"/>
          <w:szCs w:val="32"/>
        </w:rPr>
        <w:fldChar w:fldCharType="separate"/>
      </w:r>
      <w:r>
        <w:rPr>
          <w:rFonts w:ascii="楷体" w:hAnsi="楷体" w:eastAsia="楷体"/>
          <w:sz w:val="32"/>
          <w:szCs w:val="32"/>
        </w:rPr>
        <w:t>32</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6"/>
        <w:tabs>
          <w:tab w:val="right" w:leader="dot" w:pos="8296"/>
        </w:tabs>
        <w:rPr>
          <w:rFonts w:ascii="楷体" w:hAnsi="楷体" w:eastAsia="楷体"/>
          <w:sz w:val="32"/>
          <w:szCs w:val="32"/>
        </w:rPr>
      </w:pPr>
      <w:r>
        <w:fldChar w:fldCharType="begin"/>
      </w:r>
      <w:r>
        <w:instrText xml:space="preserve"> HYPERLINK \l "_Toc69259734" </w:instrText>
      </w:r>
      <w:r>
        <w:fldChar w:fldCharType="separate"/>
      </w:r>
      <w:r>
        <w:rPr>
          <w:rStyle w:val="20"/>
          <w:rFonts w:hint="eastAsia" w:ascii="楷体" w:hAnsi="楷体" w:eastAsia="楷体" w:cs="Times New Roman"/>
          <w:sz w:val="32"/>
          <w:szCs w:val="32"/>
        </w:rPr>
        <w:t>4、加强法治台州建设</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_Toc69259734 \h </w:instrText>
      </w:r>
      <w:r>
        <w:rPr>
          <w:rFonts w:hint="eastAsia" w:ascii="楷体" w:hAnsi="楷体" w:eastAsia="楷体"/>
          <w:sz w:val="32"/>
          <w:szCs w:val="32"/>
        </w:rPr>
        <w:fldChar w:fldCharType="separate"/>
      </w:r>
      <w:r>
        <w:rPr>
          <w:rFonts w:ascii="楷体" w:hAnsi="楷体" w:eastAsia="楷体"/>
          <w:sz w:val="32"/>
          <w:szCs w:val="32"/>
        </w:rPr>
        <w:t>33</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6"/>
        <w:tabs>
          <w:tab w:val="right" w:leader="dot" w:pos="8296"/>
        </w:tabs>
        <w:rPr>
          <w:rFonts w:ascii="楷体" w:hAnsi="楷体" w:eastAsia="楷体"/>
          <w:sz w:val="32"/>
          <w:szCs w:val="32"/>
        </w:rPr>
      </w:pPr>
      <w:r>
        <w:fldChar w:fldCharType="begin"/>
      </w:r>
      <w:r>
        <w:instrText xml:space="preserve"> HYPERLINK \l "_Toc69259735" </w:instrText>
      </w:r>
      <w:r>
        <w:fldChar w:fldCharType="separate"/>
      </w:r>
      <w:r>
        <w:rPr>
          <w:rStyle w:val="20"/>
          <w:rFonts w:hint="eastAsia" w:ascii="楷体" w:hAnsi="楷体" w:eastAsia="楷体" w:cs="Times New Roman"/>
          <w:sz w:val="32"/>
          <w:szCs w:val="32"/>
        </w:rPr>
        <w:t>5、深化信用台州建设</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_Toc69259735 \h </w:instrText>
      </w:r>
      <w:r>
        <w:rPr>
          <w:rFonts w:hint="eastAsia" w:ascii="楷体" w:hAnsi="楷体" w:eastAsia="楷体"/>
          <w:sz w:val="32"/>
          <w:szCs w:val="32"/>
        </w:rPr>
        <w:fldChar w:fldCharType="separate"/>
      </w:r>
      <w:r>
        <w:rPr>
          <w:rFonts w:ascii="楷体" w:hAnsi="楷体" w:eastAsia="楷体"/>
          <w:sz w:val="32"/>
          <w:szCs w:val="32"/>
        </w:rPr>
        <w:t>34</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13"/>
        <w:tabs>
          <w:tab w:val="right" w:leader="dot" w:pos="8296"/>
        </w:tabs>
        <w:rPr>
          <w:rFonts w:ascii="楷体" w:hAnsi="楷体" w:eastAsia="楷体"/>
          <w:sz w:val="32"/>
          <w:szCs w:val="32"/>
        </w:rPr>
      </w:pPr>
      <w:r>
        <w:fldChar w:fldCharType="begin"/>
      </w:r>
      <w:r>
        <w:instrText xml:space="preserve"> HYPERLINK \l "_Toc69259736" </w:instrText>
      </w:r>
      <w:r>
        <w:fldChar w:fldCharType="separate"/>
      </w:r>
      <w:r>
        <w:rPr>
          <w:rStyle w:val="20"/>
          <w:rFonts w:hint="eastAsia" w:ascii="楷体" w:hAnsi="楷体" w:eastAsia="楷体"/>
          <w:sz w:val="32"/>
          <w:szCs w:val="32"/>
        </w:rPr>
        <w:t>（五）社会产业“利民”行动</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_Toc69259736 \h </w:instrText>
      </w:r>
      <w:r>
        <w:rPr>
          <w:rFonts w:hint="eastAsia" w:ascii="楷体" w:hAnsi="楷体" w:eastAsia="楷体"/>
          <w:sz w:val="32"/>
          <w:szCs w:val="32"/>
        </w:rPr>
        <w:fldChar w:fldCharType="separate"/>
      </w:r>
      <w:r>
        <w:rPr>
          <w:rFonts w:ascii="楷体" w:hAnsi="楷体" w:eastAsia="楷体"/>
          <w:sz w:val="32"/>
          <w:szCs w:val="32"/>
        </w:rPr>
        <w:t>34</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6"/>
        <w:tabs>
          <w:tab w:val="right" w:leader="dot" w:pos="8296"/>
        </w:tabs>
        <w:rPr>
          <w:rFonts w:ascii="楷体" w:hAnsi="楷体" w:eastAsia="楷体"/>
          <w:sz w:val="32"/>
          <w:szCs w:val="32"/>
        </w:rPr>
      </w:pPr>
      <w:r>
        <w:fldChar w:fldCharType="begin"/>
      </w:r>
      <w:r>
        <w:instrText xml:space="preserve"> HYPERLINK \l "_Toc69259737" </w:instrText>
      </w:r>
      <w:r>
        <w:fldChar w:fldCharType="separate"/>
      </w:r>
      <w:r>
        <w:rPr>
          <w:rStyle w:val="20"/>
          <w:rFonts w:hint="eastAsia" w:ascii="楷体" w:hAnsi="楷体" w:eastAsia="楷体" w:cs="Times New Roman"/>
          <w:sz w:val="32"/>
          <w:szCs w:val="32"/>
        </w:rPr>
        <w:t>1、大力发展教育培训</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_Toc69259737 \h </w:instrText>
      </w:r>
      <w:r>
        <w:rPr>
          <w:rFonts w:hint="eastAsia" w:ascii="楷体" w:hAnsi="楷体" w:eastAsia="楷体"/>
          <w:sz w:val="32"/>
          <w:szCs w:val="32"/>
        </w:rPr>
        <w:fldChar w:fldCharType="separate"/>
      </w:r>
      <w:r>
        <w:rPr>
          <w:rFonts w:ascii="楷体" w:hAnsi="楷体" w:eastAsia="楷体"/>
          <w:sz w:val="32"/>
          <w:szCs w:val="32"/>
        </w:rPr>
        <w:t>35</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6"/>
        <w:tabs>
          <w:tab w:val="right" w:leader="dot" w:pos="8296"/>
        </w:tabs>
        <w:rPr>
          <w:rFonts w:ascii="楷体" w:hAnsi="楷体" w:eastAsia="楷体"/>
          <w:sz w:val="32"/>
          <w:szCs w:val="32"/>
        </w:rPr>
      </w:pPr>
      <w:r>
        <w:fldChar w:fldCharType="begin"/>
      </w:r>
      <w:r>
        <w:instrText xml:space="preserve"> HYPERLINK \l "_Toc69259738" </w:instrText>
      </w:r>
      <w:r>
        <w:fldChar w:fldCharType="separate"/>
      </w:r>
      <w:r>
        <w:rPr>
          <w:rStyle w:val="20"/>
          <w:rFonts w:hint="eastAsia" w:ascii="楷体" w:hAnsi="楷体" w:eastAsia="楷体" w:cs="Times New Roman"/>
          <w:sz w:val="32"/>
          <w:szCs w:val="32"/>
        </w:rPr>
        <w:t>2、提质发展休闲旅游</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_Toc69259738 \h </w:instrText>
      </w:r>
      <w:r>
        <w:rPr>
          <w:rFonts w:hint="eastAsia" w:ascii="楷体" w:hAnsi="楷体" w:eastAsia="楷体"/>
          <w:sz w:val="32"/>
          <w:szCs w:val="32"/>
        </w:rPr>
        <w:fldChar w:fldCharType="separate"/>
      </w:r>
      <w:r>
        <w:rPr>
          <w:rFonts w:ascii="楷体" w:hAnsi="楷体" w:eastAsia="楷体"/>
          <w:sz w:val="32"/>
          <w:szCs w:val="32"/>
        </w:rPr>
        <w:t>35</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6"/>
        <w:tabs>
          <w:tab w:val="right" w:leader="dot" w:pos="8296"/>
        </w:tabs>
        <w:rPr>
          <w:rFonts w:ascii="楷体" w:hAnsi="楷体" w:eastAsia="楷体"/>
          <w:sz w:val="32"/>
          <w:szCs w:val="32"/>
        </w:rPr>
      </w:pPr>
      <w:r>
        <w:fldChar w:fldCharType="begin"/>
      </w:r>
      <w:r>
        <w:instrText xml:space="preserve"> HYPERLINK \l "_Toc69259739" </w:instrText>
      </w:r>
      <w:r>
        <w:fldChar w:fldCharType="separate"/>
      </w:r>
      <w:r>
        <w:rPr>
          <w:rStyle w:val="20"/>
          <w:rFonts w:hint="eastAsia" w:ascii="楷体" w:hAnsi="楷体" w:eastAsia="楷体" w:cs="Times New Roman"/>
          <w:sz w:val="32"/>
          <w:szCs w:val="32"/>
        </w:rPr>
        <w:t>3、创新发展康养服务</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_Toc69259739 \h </w:instrText>
      </w:r>
      <w:r>
        <w:rPr>
          <w:rFonts w:hint="eastAsia" w:ascii="楷体" w:hAnsi="楷体" w:eastAsia="楷体"/>
          <w:sz w:val="32"/>
          <w:szCs w:val="32"/>
        </w:rPr>
        <w:fldChar w:fldCharType="separate"/>
      </w:r>
      <w:r>
        <w:rPr>
          <w:rFonts w:ascii="楷体" w:hAnsi="楷体" w:eastAsia="楷体"/>
          <w:sz w:val="32"/>
          <w:szCs w:val="32"/>
        </w:rPr>
        <w:t>36</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6"/>
        <w:tabs>
          <w:tab w:val="right" w:leader="dot" w:pos="8296"/>
        </w:tabs>
        <w:rPr>
          <w:rFonts w:ascii="楷体" w:hAnsi="楷体" w:eastAsia="楷体"/>
          <w:sz w:val="32"/>
          <w:szCs w:val="32"/>
        </w:rPr>
      </w:pPr>
      <w:r>
        <w:fldChar w:fldCharType="begin"/>
      </w:r>
      <w:r>
        <w:instrText xml:space="preserve"> HYPERLINK \l "_Toc69259740" </w:instrText>
      </w:r>
      <w:r>
        <w:fldChar w:fldCharType="separate"/>
      </w:r>
      <w:r>
        <w:rPr>
          <w:rStyle w:val="20"/>
          <w:rFonts w:hint="eastAsia" w:ascii="楷体" w:hAnsi="楷体" w:eastAsia="楷体" w:cs="Times New Roman"/>
          <w:sz w:val="32"/>
          <w:szCs w:val="32"/>
        </w:rPr>
        <w:t>4、培育发展文体产业</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_Toc69259740 \h </w:instrText>
      </w:r>
      <w:r>
        <w:rPr>
          <w:rFonts w:hint="eastAsia" w:ascii="楷体" w:hAnsi="楷体" w:eastAsia="楷体"/>
          <w:sz w:val="32"/>
          <w:szCs w:val="32"/>
        </w:rPr>
        <w:fldChar w:fldCharType="separate"/>
      </w:r>
      <w:r>
        <w:rPr>
          <w:rFonts w:ascii="楷体" w:hAnsi="楷体" w:eastAsia="楷体"/>
          <w:sz w:val="32"/>
          <w:szCs w:val="32"/>
        </w:rPr>
        <w:t>36</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6"/>
        <w:tabs>
          <w:tab w:val="right" w:leader="dot" w:pos="8296"/>
        </w:tabs>
        <w:rPr>
          <w:rFonts w:ascii="楷体" w:hAnsi="楷体" w:eastAsia="楷体"/>
          <w:sz w:val="32"/>
          <w:szCs w:val="32"/>
        </w:rPr>
      </w:pPr>
      <w:r>
        <w:fldChar w:fldCharType="begin"/>
      </w:r>
      <w:r>
        <w:instrText xml:space="preserve"> HYPERLINK \l "_Toc69259741" </w:instrText>
      </w:r>
      <w:r>
        <w:fldChar w:fldCharType="separate"/>
      </w:r>
      <w:r>
        <w:rPr>
          <w:rStyle w:val="20"/>
          <w:rFonts w:hint="eastAsia" w:ascii="楷体" w:hAnsi="楷体" w:eastAsia="楷体" w:cs="Times New Roman"/>
          <w:sz w:val="32"/>
          <w:szCs w:val="32"/>
        </w:rPr>
        <w:t>5、加快发展家政服务</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_Toc69259741 \h </w:instrText>
      </w:r>
      <w:r>
        <w:rPr>
          <w:rFonts w:hint="eastAsia" w:ascii="楷体" w:hAnsi="楷体" w:eastAsia="楷体"/>
          <w:sz w:val="32"/>
          <w:szCs w:val="32"/>
        </w:rPr>
        <w:fldChar w:fldCharType="separate"/>
      </w:r>
      <w:r>
        <w:rPr>
          <w:rFonts w:ascii="楷体" w:hAnsi="楷体" w:eastAsia="楷体"/>
          <w:sz w:val="32"/>
          <w:szCs w:val="32"/>
        </w:rPr>
        <w:t>38</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13"/>
        <w:tabs>
          <w:tab w:val="right" w:leader="dot" w:pos="8296"/>
        </w:tabs>
        <w:rPr>
          <w:rFonts w:ascii="楷体" w:hAnsi="楷体" w:eastAsia="楷体"/>
          <w:sz w:val="32"/>
          <w:szCs w:val="32"/>
        </w:rPr>
      </w:pPr>
      <w:r>
        <w:fldChar w:fldCharType="begin"/>
      </w:r>
      <w:r>
        <w:instrText xml:space="preserve"> HYPERLINK \l "_Toc69259742" </w:instrText>
      </w:r>
      <w:r>
        <w:fldChar w:fldCharType="separate"/>
      </w:r>
      <w:r>
        <w:rPr>
          <w:rStyle w:val="20"/>
          <w:rFonts w:hint="eastAsia" w:ascii="楷体" w:hAnsi="楷体" w:eastAsia="楷体"/>
          <w:sz w:val="32"/>
          <w:szCs w:val="32"/>
        </w:rPr>
        <w:t>（六）社会改革“便民”行动</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_Toc69259742 \h </w:instrText>
      </w:r>
      <w:r>
        <w:rPr>
          <w:rFonts w:hint="eastAsia" w:ascii="楷体" w:hAnsi="楷体" w:eastAsia="楷体"/>
          <w:sz w:val="32"/>
          <w:szCs w:val="32"/>
        </w:rPr>
        <w:fldChar w:fldCharType="separate"/>
      </w:r>
      <w:r>
        <w:rPr>
          <w:rFonts w:ascii="楷体" w:hAnsi="楷体" w:eastAsia="楷体"/>
          <w:sz w:val="32"/>
          <w:szCs w:val="32"/>
        </w:rPr>
        <w:t>39</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6"/>
        <w:tabs>
          <w:tab w:val="right" w:leader="dot" w:pos="8296"/>
        </w:tabs>
        <w:rPr>
          <w:rFonts w:ascii="楷体" w:hAnsi="楷体" w:eastAsia="楷体"/>
          <w:sz w:val="32"/>
          <w:szCs w:val="32"/>
        </w:rPr>
      </w:pPr>
      <w:r>
        <w:fldChar w:fldCharType="begin"/>
      </w:r>
      <w:r>
        <w:instrText xml:space="preserve"> HYPERLINK \l "_Toc69259743" </w:instrText>
      </w:r>
      <w:r>
        <w:fldChar w:fldCharType="separate"/>
      </w:r>
      <w:r>
        <w:rPr>
          <w:rStyle w:val="20"/>
          <w:rFonts w:hint="eastAsia" w:ascii="楷体" w:hAnsi="楷体" w:eastAsia="楷体" w:cs="Times New Roman"/>
          <w:sz w:val="32"/>
          <w:szCs w:val="32"/>
        </w:rPr>
        <w:t>1、推进数字化改革</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_Toc69259743 \h </w:instrText>
      </w:r>
      <w:r>
        <w:rPr>
          <w:rFonts w:hint="eastAsia" w:ascii="楷体" w:hAnsi="楷体" w:eastAsia="楷体"/>
          <w:sz w:val="32"/>
          <w:szCs w:val="32"/>
        </w:rPr>
        <w:fldChar w:fldCharType="separate"/>
      </w:r>
      <w:r>
        <w:rPr>
          <w:rFonts w:ascii="楷体" w:hAnsi="楷体" w:eastAsia="楷体"/>
          <w:sz w:val="32"/>
          <w:szCs w:val="32"/>
        </w:rPr>
        <w:t>39</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6"/>
        <w:tabs>
          <w:tab w:val="right" w:leader="dot" w:pos="8296"/>
        </w:tabs>
        <w:rPr>
          <w:rFonts w:ascii="楷体" w:hAnsi="楷体" w:eastAsia="楷体"/>
          <w:sz w:val="32"/>
          <w:szCs w:val="32"/>
        </w:rPr>
      </w:pPr>
      <w:r>
        <w:fldChar w:fldCharType="begin"/>
      </w:r>
      <w:r>
        <w:instrText xml:space="preserve"> HYPERLINK \l "_Toc69259744" </w:instrText>
      </w:r>
      <w:r>
        <w:fldChar w:fldCharType="separate"/>
      </w:r>
      <w:r>
        <w:rPr>
          <w:rStyle w:val="20"/>
          <w:rFonts w:hint="eastAsia" w:ascii="楷体" w:hAnsi="楷体" w:eastAsia="楷体" w:cs="Times New Roman"/>
          <w:sz w:val="32"/>
          <w:szCs w:val="32"/>
        </w:rPr>
        <w:t>2、深化体制机制改革</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_Toc69259744 \h </w:instrText>
      </w:r>
      <w:r>
        <w:rPr>
          <w:rFonts w:hint="eastAsia" w:ascii="楷体" w:hAnsi="楷体" w:eastAsia="楷体"/>
          <w:sz w:val="32"/>
          <w:szCs w:val="32"/>
        </w:rPr>
        <w:fldChar w:fldCharType="separate"/>
      </w:r>
      <w:r>
        <w:rPr>
          <w:rFonts w:ascii="楷体" w:hAnsi="楷体" w:eastAsia="楷体"/>
          <w:sz w:val="32"/>
          <w:szCs w:val="32"/>
        </w:rPr>
        <w:t>42</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6"/>
        <w:tabs>
          <w:tab w:val="right" w:leader="dot" w:pos="8296"/>
        </w:tabs>
        <w:rPr>
          <w:rFonts w:ascii="楷体" w:hAnsi="楷体" w:eastAsia="楷体"/>
          <w:sz w:val="32"/>
          <w:szCs w:val="32"/>
        </w:rPr>
      </w:pPr>
      <w:r>
        <w:fldChar w:fldCharType="begin"/>
      </w:r>
      <w:r>
        <w:instrText xml:space="preserve"> HYPERLINK \l "_Toc69259745" </w:instrText>
      </w:r>
      <w:r>
        <w:fldChar w:fldCharType="separate"/>
      </w:r>
      <w:r>
        <w:rPr>
          <w:rStyle w:val="20"/>
          <w:rFonts w:hint="eastAsia" w:ascii="楷体" w:hAnsi="楷体" w:eastAsia="楷体" w:cs="Times New Roman"/>
          <w:sz w:val="32"/>
          <w:szCs w:val="32"/>
        </w:rPr>
        <w:t>3、强化开放合作</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_Toc69259745 \h </w:instrText>
      </w:r>
      <w:r>
        <w:rPr>
          <w:rFonts w:hint="eastAsia" w:ascii="楷体" w:hAnsi="楷体" w:eastAsia="楷体"/>
          <w:sz w:val="32"/>
          <w:szCs w:val="32"/>
        </w:rPr>
        <w:fldChar w:fldCharType="separate"/>
      </w:r>
      <w:r>
        <w:rPr>
          <w:rFonts w:ascii="楷体" w:hAnsi="楷体" w:eastAsia="楷体"/>
          <w:sz w:val="32"/>
          <w:szCs w:val="32"/>
        </w:rPr>
        <w:t>43</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11"/>
        <w:rPr>
          <w:rStyle w:val="20"/>
          <w:rFonts w:hint="eastAsia" w:asciiTheme="minorHAnsi" w:hAnsiTheme="minorHAnsi" w:eastAsiaTheme="minorEastAsia"/>
        </w:rPr>
      </w:pPr>
      <w:r>
        <w:rPr>
          <w:rStyle w:val="20"/>
          <w:rFonts w:hint="eastAsia" w:asciiTheme="minorHAnsi" w:hAnsiTheme="minorHAnsi" w:eastAsiaTheme="minorEastAsia"/>
        </w:rPr>
        <w:fldChar w:fldCharType="begin"/>
      </w:r>
      <w:r>
        <w:rPr>
          <w:rStyle w:val="20"/>
          <w:rFonts w:hint="eastAsia" w:asciiTheme="minorHAnsi" w:hAnsiTheme="minorHAnsi" w:eastAsiaTheme="minorEastAsia"/>
        </w:rPr>
        <w:instrText xml:space="preserve"> HYPERLINK \l "_Toc69259746" </w:instrText>
      </w:r>
      <w:r>
        <w:rPr>
          <w:rStyle w:val="20"/>
          <w:rFonts w:hint="eastAsia" w:asciiTheme="minorHAnsi" w:hAnsiTheme="minorHAnsi" w:eastAsiaTheme="minorEastAsia"/>
        </w:rPr>
        <w:fldChar w:fldCharType="separate"/>
      </w:r>
      <w:r>
        <w:rPr>
          <w:rStyle w:val="20"/>
          <w:rFonts w:hint="eastAsia" w:asciiTheme="minorHAnsi" w:hAnsiTheme="minorHAnsi" w:eastAsiaTheme="minorEastAsia"/>
        </w:rPr>
        <w:t>四、保障措施</w:t>
      </w:r>
      <w:r>
        <w:rPr>
          <w:rStyle w:val="20"/>
          <w:rFonts w:hint="eastAsia" w:asciiTheme="minorHAnsi" w:hAnsiTheme="minorHAnsi" w:eastAsiaTheme="minorEastAsia"/>
        </w:rPr>
        <w:tab/>
      </w:r>
      <w:r>
        <w:rPr>
          <w:rStyle w:val="20"/>
          <w:rFonts w:hint="eastAsia" w:asciiTheme="minorHAnsi" w:hAnsiTheme="minorHAnsi" w:eastAsiaTheme="minorEastAsia"/>
        </w:rPr>
        <w:fldChar w:fldCharType="begin"/>
      </w:r>
      <w:r>
        <w:rPr>
          <w:rStyle w:val="20"/>
          <w:rFonts w:hint="eastAsia" w:asciiTheme="minorHAnsi" w:hAnsiTheme="minorHAnsi" w:eastAsiaTheme="minorEastAsia"/>
        </w:rPr>
        <w:instrText xml:space="preserve"> PAGEREF _Toc69259746 \h </w:instrText>
      </w:r>
      <w:r>
        <w:rPr>
          <w:rStyle w:val="20"/>
          <w:rFonts w:hint="eastAsia" w:asciiTheme="minorHAnsi" w:hAnsiTheme="minorHAnsi" w:eastAsiaTheme="minorEastAsia"/>
        </w:rPr>
        <w:fldChar w:fldCharType="separate"/>
      </w:r>
      <w:r>
        <w:rPr>
          <w:rStyle w:val="20"/>
          <w:rFonts w:hint="eastAsia" w:asciiTheme="minorHAnsi" w:hAnsiTheme="minorHAnsi" w:eastAsiaTheme="minorEastAsia"/>
        </w:rPr>
        <w:t>44</w:t>
      </w:r>
      <w:r>
        <w:rPr>
          <w:rStyle w:val="20"/>
          <w:rFonts w:hint="eastAsia" w:asciiTheme="minorHAnsi" w:hAnsiTheme="minorHAnsi" w:eastAsiaTheme="minorEastAsia"/>
        </w:rPr>
        <w:fldChar w:fldCharType="end"/>
      </w:r>
      <w:r>
        <w:rPr>
          <w:rStyle w:val="20"/>
          <w:rFonts w:hint="eastAsia" w:asciiTheme="minorHAnsi" w:hAnsiTheme="minorHAnsi" w:eastAsiaTheme="minorEastAsia"/>
        </w:rPr>
        <w:fldChar w:fldCharType="end"/>
      </w:r>
    </w:p>
    <w:p>
      <w:pPr>
        <w:pStyle w:val="13"/>
        <w:tabs>
          <w:tab w:val="right" w:leader="dot" w:pos="8296"/>
        </w:tabs>
        <w:rPr>
          <w:rFonts w:ascii="楷体" w:hAnsi="楷体" w:eastAsia="楷体"/>
          <w:sz w:val="32"/>
          <w:szCs w:val="32"/>
        </w:rPr>
      </w:pPr>
      <w:r>
        <w:fldChar w:fldCharType="begin"/>
      </w:r>
      <w:r>
        <w:instrText xml:space="preserve"> HYPERLINK \l "_Toc69259747" </w:instrText>
      </w:r>
      <w:r>
        <w:fldChar w:fldCharType="separate"/>
      </w:r>
      <w:r>
        <w:rPr>
          <w:rStyle w:val="20"/>
          <w:rFonts w:hint="eastAsia" w:ascii="楷体" w:hAnsi="楷体" w:eastAsia="楷体"/>
          <w:sz w:val="32"/>
          <w:szCs w:val="32"/>
        </w:rPr>
        <w:t>（一）强化政府主责</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_Toc69259747 \h </w:instrText>
      </w:r>
      <w:r>
        <w:rPr>
          <w:rFonts w:hint="eastAsia" w:ascii="楷体" w:hAnsi="楷体" w:eastAsia="楷体"/>
          <w:sz w:val="32"/>
          <w:szCs w:val="32"/>
        </w:rPr>
        <w:fldChar w:fldCharType="separate"/>
      </w:r>
      <w:r>
        <w:rPr>
          <w:rFonts w:ascii="楷体" w:hAnsi="楷体" w:eastAsia="楷体"/>
          <w:sz w:val="32"/>
          <w:szCs w:val="32"/>
        </w:rPr>
        <w:t>44</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13"/>
        <w:tabs>
          <w:tab w:val="right" w:leader="dot" w:pos="8296"/>
        </w:tabs>
        <w:rPr>
          <w:rFonts w:ascii="楷体" w:hAnsi="楷体" w:eastAsia="楷体"/>
          <w:sz w:val="32"/>
          <w:szCs w:val="32"/>
        </w:rPr>
      </w:pPr>
      <w:r>
        <w:fldChar w:fldCharType="begin"/>
      </w:r>
      <w:r>
        <w:instrText xml:space="preserve"> HYPERLINK \l "_Toc69259748" </w:instrText>
      </w:r>
      <w:r>
        <w:fldChar w:fldCharType="separate"/>
      </w:r>
      <w:r>
        <w:rPr>
          <w:rStyle w:val="20"/>
          <w:rFonts w:hint="eastAsia" w:ascii="楷体" w:hAnsi="楷体" w:eastAsia="楷体"/>
          <w:sz w:val="32"/>
          <w:szCs w:val="32"/>
        </w:rPr>
        <w:t>（二）加大要素保障</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_Toc69259748 \h </w:instrText>
      </w:r>
      <w:r>
        <w:rPr>
          <w:rFonts w:hint="eastAsia" w:ascii="楷体" w:hAnsi="楷体" w:eastAsia="楷体"/>
          <w:sz w:val="32"/>
          <w:szCs w:val="32"/>
        </w:rPr>
        <w:fldChar w:fldCharType="separate"/>
      </w:r>
      <w:r>
        <w:rPr>
          <w:rFonts w:ascii="楷体" w:hAnsi="楷体" w:eastAsia="楷体"/>
          <w:sz w:val="32"/>
          <w:szCs w:val="32"/>
        </w:rPr>
        <w:t>45</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13"/>
        <w:tabs>
          <w:tab w:val="right" w:leader="dot" w:pos="8296"/>
        </w:tabs>
        <w:rPr>
          <w:rFonts w:ascii="楷体" w:hAnsi="楷体" w:eastAsia="楷体"/>
          <w:sz w:val="32"/>
          <w:szCs w:val="32"/>
        </w:rPr>
      </w:pPr>
      <w:r>
        <w:fldChar w:fldCharType="begin"/>
      </w:r>
      <w:r>
        <w:instrText xml:space="preserve"> HYPERLINK \l "_Toc69259749" </w:instrText>
      </w:r>
      <w:r>
        <w:fldChar w:fldCharType="separate"/>
      </w:r>
      <w:r>
        <w:rPr>
          <w:rStyle w:val="20"/>
          <w:rFonts w:hint="eastAsia" w:ascii="楷体" w:hAnsi="楷体" w:eastAsia="楷体"/>
          <w:sz w:val="32"/>
          <w:szCs w:val="32"/>
        </w:rPr>
        <w:t>（三）推进项目建设</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_Toc69259749 \h </w:instrText>
      </w:r>
      <w:r>
        <w:rPr>
          <w:rFonts w:hint="eastAsia" w:ascii="楷体" w:hAnsi="楷体" w:eastAsia="楷体"/>
          <w:sz w:val="32"/>
          <w:szCs w:val="32"/>
        </w:rPr>
        <w:fldChar w:fldCharType="separate"/>
      </w:r>
      <w:r>
        <w:rPr>
          <w:rFonts w:ascii="楷体" w:hAnsi="楷体" w:eastAsia="楷体"/>
          <w:sz w:val="32"/>
          <w:szCs w:val="32"/>
        </w:rPr>
        <w:t>46</w:t>
      </w:r>
      <w:r>
        <w:rPr>
          <w:rFonts w:hint="eastAsia" w:ascii="楷体" w:hAnsi="楷体" w:eastAsia="楷体"/>
          <w:sz w:val="32"/>
          <w:szCs w:val="32"/>
        </w:rPr>
        <w:fldChar w:fldCharType="end"/>
      </w:r>
      <w:r>
        <w:rPr>
          <w:rFonts w:hint="eastAsia" w:ascii="楷体" w:hAnsi="楷体" w:eastAsia="楷体"/>
          <w:sz w:val="32"/>
          <w:szCs w:val="32"/>
        </w:rPr>
        <w:fldChar w:fldCharType="end"/>
      </w:r>
    </w:p>
    <w:p>
      <w:pPr>
        <w:pStyle w:val="13"/>
        <w:tabs>
          <w:tab w:val="right" w:leader="dot" w:pos="8296"/>
        </w:tabs>
        <w:rPr>
          <w:rFonts w:hint="eastAsia" w:ascii="楷体" w:hAnsi="楷体" w:eastAsia="楷体"/>
          <w:sz w:val="32"/>
          <w:szCs w:val="32"/>
        </w:rPr>
      </w:pPr>
      <w:r>
        <w:fldChar w:fldCharType="begin"/>
      </w:r>
      <w:r>
        <w:instrText xml:space="preserve"> HYPERLINK \l "_Toc69259750" </w:instrText>
      </w:r>
      <w:r>
        <w:fldChar w:fldCharType="separate"/>
      </w:r>
      <w:r>
        <w:rPr>
          <w:rStyle w:val="20"/>
          <w:rFonts w:hint="eastAsia" w:ascii="楷体" w:hAnsi="楷体" w:eastAsia="楷体"/>
          <w:sz w:val="32"/>
          <w:szCs w:val="32"/>
        </w:rPr>
        <w:t>（四）加强评估考核</w:t>
      </w:r>
      <w:r>
        <w:rPr>
          <w:rFonts w:hint="eastAsia" w:ascii="楷体" w:hAnsi="楷体" w:eastAsia="楷体"/>
          <w:sz w:val="32"/>
          <w:szCs w:val="32"/>
        </w:rPr>
        <w:tab/>
      </w:r>
      <w:r>
        <w:rPr>
          <w:rFonts w:hint="eastAsia" w:ascii="楷体" w:hAnsi="楷体" w:eastAsia="楷体"/>
          <w:sz w:val="32"/>
          <w:szCs w:val="32"/>
        </w:rPr>
        <w:fldChar w:fldCharType="begin"/>
      </w:r>
      <w:r>
        <w:rPr>
          <w:rFonts w:hint="eastAsia" w:ascii="楷体" w:hAnsi="楷体" w:eastAsia="楷体"/>
          <w:sz w:val="32"/>
          <w:szCs w:val="32"/>
        </w:rPr>
        <w:instrText xml:space="preserve"> PAGEREF _Toc69259750 \h </w:instrText>
      </w:r>
      <w:r>
        <w:rPr>
          <w:rFonts w:hint="eastAsia" w:ascii="楷体" w:hAnsi="楷体" w:eastAsia="楷体"/>
          <w:sz w:val="32"/>
          <w:szCs w:val="32"/>
        </w:rPr>
        <w:fldChar w:fldCharType="separate"/>
      </w:r>
      <w:r>
        <w:rPr>
          <w:rFonts w:ascii="楷体" w:hAnsi="楷体" w:eastAsia="楷体"/>
          <w:sz w:val="32"/>
          <w:szCs w:val="32"/>
        </w:rPr>
        <w:t>46</w:t>
      </w:r>
      <w:r>
        <w:rPr>
          <w:rFonts w:hint="eastAsia" w:ascii="楷体" w:hAnsi="楷体" w:eastAsia="楷体"/>
          <w:sz w:val="32"/>
          <w:szCs w:val="32"/>
        </w:rPr>
        <w:fldChar w:fldCharType="end"/>
      </w:r>
      <w:r>
        <w:rPr>
          <w:rFonts w:hint="eastAsia" w:ascii="楷体" w:hAnsi="楷体" w:eastAsia="楷体"/>
          <w:sz w:val="32"/>
          <w:szCs w:val="32"/>
        </w:rPr>
        <w:fldChar w:fldCharType="end"/>
      </w:r>
    </w:p>
    <w:p>
      <w:pPr>
        <w:jc w:val="center"/>
        <w:rPr>
          <w:b/>
          <w:sz w:val="32"/>
          <w:szCs w:val="32"/>
        </w:rPr>
        <w:sectPr>
          <w:pgSz w:w="11906" w:h="16838"/>
          <w:pgMar w:top="1440" w:right="1800" w:bottom="1440" w:left="1800" w:header="851" w:footer="992" w:gutter="0"/>
          <w:cols w:space="425" w:num="1"/>
          <w:docGrid w:type="lines" w:linePitch="312" w:charSpace="0"/>
        </w:sectPr>
      </w:pPr>
      <w:r>
        <w:rPr>
          <w:rFonts w:hint="eastAsia" w:ascii="仿宋_GB2312" w:eastAsia="仿宋_GB2312"/>
          <w:sz w:val="30"/>
          <w:szCs w:val="30"/>
        </w:rPr>
        <w:fldChar w:fldCharType="end"/>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eastAsia="仿宋_GB2312" w:cs="Times New Roman"/>
          <w:sz w:val="32"/>
          <w:szCs w:val="32"/>
        </w:rPr>
        <w:t>十四五</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是我市在高水平全面实现小康社会的基础上开启现代化建设新征程的起步期，是建设新时代民营经济高质量发展强市的关键期。加强以改善民生、促进公平、保障和谐为重点的社会建设，既是满足居民对美好生活的向往，实现经济社会协调发展的必然要求，也是强化产城联动，推进城市化与工业化互促共进的内在要求。为更好地推进</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十四五</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时期社会发展工作，根据《台州市国民经济和社会发展第十四个五年规划和二O三五年远景目标纲要》，特编制本规划。</w:t>
      </w:r>
    </w:p>
    <w:p>
      <w:pPr>
        <w:ind w:firstLine="643" w:firstLineChars="200"/>
        <w:jc w:val="left"/>
        <w:outlineLvl w:val="0"/>
        <w:rPr>
          <w:rFonts w:ascii="仿宋_GB2312" w:eastAsia="仿宋_GB2312"/>
          <w:b/>
          <w:sz w:val="32"/>
          <w:szCs w:val="32"/>
        </w:rPr>
      </w:pPr>
      <w:bookmarkStart w:id="0" w:name="_Toc69259709"/>
      <w:r>
        <w:rPr>
          <w:rFonts w:hint="eastAsia" w:ascii="仿宋_GB2312" w:eastAsia="仿宋_GB2312"/>
          <w:b/>
          <w:sz w:val="32"/>
          <w:szCs w:val="32"/>
        </w:rPr>
        <w:t>一、</w:t>
      </w:r>
      <w:r>
        <w:rPr>
          <w:rFonts w:hint="eastAsia" w:ascii="黑体" w:hAnsi="黑体" w:eastAsia="黑体" w:cs="黑体"/>
          <w:b w:val="0"/>
          <w:bCs/>
          <w:sz w:val="32"/>
          <w:szCs w:val="32"/>
        </w:rPr>
        <w:t>发展基础</w:t>
      </w:r>
      <w:bookmarkEnd w:id="0"/>
    </w:p>
    <w:p>
      <w:pPr>
        <w:ind w:firstLine="643" w:firstLineChars="200"/>
        <w:jc w:val="left"/>
        <w:outlineLvl w:val="1"/>
        <w:rPr>
          <w:rFonts w:ascii="仿宋_GB2312" w:eastAsia="仿宋_GB2312"/>
          <w:b/>
          <w:sz w:val="32"/>
          <w:szCs w:val="32"/>
        </w:rPr>
      </w:pPr>
      <w:bookmarkStart w:id="1" w:name="_Toc69259710"/>
      <w:r>
        <w:rPr>
          <w:rFonts w:hint="eastAsia" w:ascii="仿宋_GB2312" w:eastAsia="仿宋_GB2312"/>
          <w:b/>
          <w:sz w:val="32"/>
          <w:szCs w:val="32"/>
        </w:rPr>
        <w:t>（一）发展成就</w:t>
      </w:r>
      <w:bookmarkEnd w:id="1"/>
    </w:p>
    <w:p>
      <w:pPr>
        <w:ind w:firstLine="640" w:firstLineChars="200"/>
        <w:rPr>
          <w:rFonts w:ascii="仿宋_GB2312" w:eastAsia="仿宋_GB2312" w:cs="Times New Roman"/>
          <w:sz w:val="32"/>
          <w:szCs w:val="32"/>
        </w:rPr>
      </w:pPr>
      <w:r>
        <w:rPr>
          <w:rFonts w:hint="eastAsia" w:ascii="仿宋_GB2312" w:eastAsia="仿宋_GB2312" w:cs="Times New Roman"/>
          <w:sz w:val="32"/>
          <w:szCs w:val="32"/>
        </w:rPr>
        <w:t xml:space="preserve">“十三五”期间，市委市政府始终以人民为中心，持续加大民生投入、积极兴办民生实事，社会综合服务能力显著提高，人民群众的获得感不断增强。 </w:t>
      </w:r>
    </w:p>
    <w:p>
      <w:pPr>
        <w:ind w:firstLine="643" w:firstLineChars="200"/>
        <w:rPr>
          <w:rFonts w:ascii="仿宋_GB2312" w:eastAsia="仿宋_GB2312" w:cs="Times New Roman" w:hAnsiTheme="minorEastAsia"/>
          <w:spacing w:val="6"/>
          <w:sz w:val="32"/>
          <w:szCs w:val="32"/>
          <w:shd w:val="clear" w:color="auto" w:fill="FFFFFF"/>
        </w:rPr>
      </w:pPr>
      <w:r>
        <w:rPr>
          <w:rFonts w:hint="eastAsia" w:ascii="仿宋_GB2312" w:eastAsia="仿宋_GB2312"/>
          <w:b/>
          <w:sz w:val="32"/>
          <w:szCs w:val="32"/>
        </w:rPr>
        <w:t>基本公共服务均等化实现度提前全面达标。</w:t>
      </w:r>
      <w:r>
        <w:rPr>
          <w:rFonts w:hint="eastAsia" w:ascii="仿宋_GB2312" w:eastAsia="仿宋_GB2312" w:hAnsiTheme="minorEastAsia"/>
          <w:spacing w:val="6"/>
          <w:sz w:val="32"/>
          <w:szCs w:val="32"/>
          <w:shd w:val="clear" w:color="auto" w:fill="FFFFFF"/>
        </w:rPr>
        <w:t>2019年，</w:t>
      </w:r>
      <w:r>
        <w:rPr>
          <w:rFonts w:hint="eastAsia" w:ascii="仿宋_GB2312" w:eastAsia="仿宋_GB2312" w:cs="Times New Roman" w:hAnsiTheme="minorEastAsia"/>
          <w:spacing w:val="6"/>
          <w:sz w:val="32"/>
          <w:szCs w:val="32"/>
          <w:shd w:val="clear" w:color="auto" w:fill="FFFFFF"/>
        </w:rPr>
        <w:t>全市基本公共服务均等化2019年实现度为97.2%，比2015年提高14.3个百分点，</w:t>
      </w:r>
      <w:r>
        <w:rPr>
          <w:rFonts w:hint="eastAsia" w:ascii="仿宋_GB2312" w:eastAsia="仿宋_GB2312" w:hAnsiTheme="minorEastAsia"/>
          <w:spacing w:val="6"/>
          <w:sz w:val="32"/>
          <w:szCs w:val="32"/>
          <w:shd w:val="clear" w:color="auto" w:fill="FFFFFF"/>
        </w:rPr>
        <w:t>提前超额完成基本公共服务五年行动计划95%的目标任务。8大领域中</w:t>
      </w:r>
      <w:r>
        <w:rPr>
          <w:rFonts w:hint="eastAsia" w:ascii="仿宋_GB2312" w:eastAsia="仿宋_GB2312" w:cs="Times New Roman" w:hAnsiTheme="minorEastAsia"/>
          <w:spacing w:val="6"/>
          <w:sz w:val="32"/>
          <w:szCs w:val="32"/>
          <w:shd w:val="clear" w:color="auto" w:fill="FFFFFF"/>
        </w:rPr>
        <w:t>基本环境和基本就业创业2个领域100%实现。</w:t>
      </w:r>
      <w:r>
        <w:rPr>
          <w:rFonts w:hint="eastAsia" w:ascii="仿宋_GB2312" w:eastAsia="仿宋_GB2312" w:hAnsiTheme="minorEastAsia"/>
          <w:spacing w:val="6"/>
          <w:sz w:val="32"/>
          <w:szCs w:val="32"/>
          <w:shd w:val="clear" w:color="auto" w:fill="FFFFFF"/>
        </w:rPr>
        <w:t>基本公共服务五年行动计划确定的四大类33项指标，截止到2020年底，除护理型床位占比和每千人医疗床位数2个指标进展稍显滞后外，其他</w:t>
      </w:r>
      <w:r>
        <w:rPr>
          <w:rFonts w:hint="eastAsia" w:ascii="仿宋_GB2312" w:hAnsi="Times New Roman" w:eastAsia="仿宋_GB2312" w:cs="Times New Roman"/>
          <w:spacing w:val="6"/>
          <w:sz w:val="32"/>
          <w:szCs w:val="32"/>
          <w:shd w:val="clear" w:color="auto" w:fill="FFFFFF"/>
        </w:rPr>
        <w:t>31</w:t>
      </w:r>
      <w:r>
        <w:rPr>
          <w:rFonts w:hint="eastAsia" w:ascii="仿宋_GB2312" w:eastAsia="仿宋_GB2312" w:hAnsiTheme="minorEastAsia"/>
          <w:spacing w:val="6"/>
          <w:sz w:val="32"/>
          <w:szCs w:val="32"/>
          <w:shd w:val="clear" w:color="auto" w:fill="FFFFFF"/>
        </w:rPr>
        <w:t>个指标都能达到</w:t>
      </w:r>
      <w:r>
        <w:rPr>
          <w:rFonts w:hint="eastAsia" w:ascii="仿宋_GB2312" w:eastAsia="仿宋_GB2312" w:cs="Times New Roman" w:hAnsiTheme="minorEastAsia"/>
          <w:spacing w:val="6"/>
          <w:sz w:val="32"/>
          <w:szCs w:val="32"/>
          <w:shd w:val="clear" w:color="auto" w:fill="FFFFFF"/>
        </w:rPr>
        <w:t>预期目标要求。</w:t>
      </w:r>
    </w:p>
    <w:p>
      <w:pPr>
        <w:ind w:firstLine="643" w:firstLineChars="200"/>
        <w:rPr>
          <w:rFonts w:ascii="仿宋_GB2312" w:hAnsi="Times New Roman" w:eastAsia="仿宋_GB2312" w:cs="Times New Roman"/>
          <w:sz w:val="32"/>
          <w:szCs w:val="32"/>
        </w:rPr>
      </w:pPr>
      <w:r>
        <w:rPr>
          <w:rFonts w:hint="eastAsia" w:ascii="仿宋_GB2312" w:eastAsia="仿宋_GB2312"/>
          <w:b/>
          <w:sz w:val="32"/>
          <w:szCs w:val="32"/>
        </w:rPr>
        <w:t>社会事业迈上新台阶。</w:t>
      </w:r>
      <w:r>
        <w:rPr>
          <w:rFonts w:hint="eastAsia" w:ascii="仿宋_GB2312" w:eastAsia="仿宋_GB2312"/>
          <w:sz w:val="32"/>
          <w:szCs w:val="32"/>
        </w:rPr>
        <w:t>教育、文化、卫生、体育等社会事业发展水平不断</w:t>
      </w:r>
      <w:r>
        <w:rPr>
          <w:rFonts w:hint="eastAsia" w:ascii="仿宋_GB2312" w:eastAsia="仿宋_GB2312" w:cs="Times New Roman"/>
          <w:sz w:val="32"/>
          <w:szCs w:val="32"/>
        </w:rPr>
        <w:t>提高。义务教育质量全省排名向前移位，省义务教育标准化学校覆盖率达95%，北师大台州附中、台州市中心幼儿园、镇海中学台州分校等重大项目建成投用。</w:t>
      </w:r>
      <w:r>
        <w:rPr>
          <w:rFonts w:hint="eastAsia" w:ascii="仿宋_GB2312" w:hAnsi="Calibri" w:eastAsia="仿宋_GB2312" w:cs="Times New Roman"/>
          <w:sz w:val="32"/>
          <w:szCs w:val="32"/>
        </w:rPr>
        <w:t>成功创成国家公共文化服务体系示范区，</w:t>
      </w:r>
      <w:r>
        <w:rPr>
          <w:rFonts w:hint="eastAsia" w:ascii="仿宋_GB2312" w:hAnsi="Times New Roman" w:eastAsia="仿宋_GB2312" w:cs="Times New Roman"/>
          <w:sz w:val="32"/>
          <w:szCs w:val="32"/>
        </w:rPr>
        <w:t xml:space="preserve">全市公共文化设施总面积超181万平米，农村文化礼堂基本覆盖所有中心村与历史文化村落。健康浙江考核取得优秀等次，建成投用恩泽医院、市妇女儿童医院等医疗机构，区域医学共享中心覆盖率和智慧医疗覆盖率均达100%，每千人床位数、每千人口的执业（助理）医师数和护士数分别达3.26张、5.08人。市全民健身活动中心建成开放，人均体育设施面积达2.28平方米；成功举办“中国杯”国际软式网球锦标赛、首届全国气排球大奖赛等系列赛事，台州国际马拉松被评为金牌赛事。 </w:t>
      </w:r>
    </w:p>
    <w:p>
      <w:pPr>
        <w:ind w:firstLine="643" w:firstLineChars="200"/>
        <w:rPr>
          <w:rFonts w:ascii="仿宋_GB2312" w:hAnsi="Times New Roman" w:eastAsia="仿宋_GB2312" w:cs="Times New Roman"/>
          <w:sz w:val="32"/>
          <w:szCs w:val="32"/>
        </w:rPr>
      </w:pPr>
      <w:r>
        <w:rPr>
          <w:rFonts w:hint="eastAsia" w:ascii="仿宋_GB2312" w:eastAsia="仿宋_GB2312"/>
          <w:b/>
          <w:sz w:val="32"/>
          <w:szCs w:val="32"/>
        </w:rPr>
        <w:t>社会保障得到新提升。</w:t>
      </w:r>
      <w:r>
        <w:rPr>
          <w:rFonts w:hint="eastAsia" w:ascii="仿宋_GB2312" w:eastAsia="仿宋_GB2312"/>
          <w:sz w:val="32"/>
          <w:szCs w:val="32"/>
        </w:rPr>
        <w:t>人民生活水平不断提高，</w:t>
      </w:r>
      <w:r>
        <w:rPr>
          <w:rFonts w:hint="eastAsia" w:ascii="仿宋_GB2312" w:hAnsi="Times New Roman" w:eastAsia="仿宋_GB2312" w:cs="Times New Roman"/>
          <w:sz w:val="32"/>
          <w:szCs w:val="32"/>
        </w:rPr>
        <w:t>居民人均可支配收入达50643元，</w:t>
      </w:r>
      <w:r>
        <w:rPr>
          <w:rFonts w:hint="eastAsia" w:ascii="仿宋_GB2312" w:eastAsia="仿宋_GB2312"/>
          <w:sz w:val="32"/>
          <w:szCs w:val="32"/>
        </w:rPr>
        <w:t>实现了</w:t>
      </w:r>
      <w:r>
        <w:rPr>
          <w:rFonts w:hint="eastAsia" w:ascii="仿宋_GB2312" w:hAnsi="Times New Roman" w:eastAsia="仿宋_GB2312" w:cs="Times New Roman"/>
          <w:sz w:val="32"/>
          <w:szCs w:val="32"/>
        </w:rPr>
        <w:t>“8000</w:t>
      </w:r>
      <w:r>
        <w:rPr>
          <w:rFonts w:hint="eastAsia" w:ascii="仿宋_GB2312" w:eastAsia="仿宋_GB2312" w:cs="Times New Roman"/>
          <w:sz w:val="32"/>
          <w:szCs w:val="32"/>
        </w:rPr>
        <w:t>元以下</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对象的动态清零</w:t>
      </w:r>
      <w:r>
        <w:rPr>
          <w:rFonts w:hint="eastAsia" w:ascii="仿宋_GB2312" w:eastAsia="仿宋_GB2312"/>
          <w:sz w:val="32"/>
          <w:szCs w:val="32"/>
        </w:rPr>
        <w:t>，集体经济薄弱村全面消除。</w:t>
      </w:r>
      <w:r>
        <w:rPr>
          <w:rFonts w:hint="eastAsia" w:ascii="仿宋_GB2312" w:eastAsia="仿宋_GB2312" w:cs="Times New Roman"/>
          <w:sz w:val="32"/>
          <w:szCs w:val="32"/>
        </w:rPr>
        <w:t>就业形势良好，</w:t>
      </w:r>
      <w:r>
        <w:rPr>
          <w:rFonts w:hint="eastAsia" w:ascii="仿宋_GB2312" w:hAnsi="Times New Roman" w:eastAsia="仿宋_GB2312" w:cs="Times New Roman"/>
          <w:sz w:val="32"/>
          <w:szCs w:val="32"/>
        </w:rPr>
        <w:t>“十三五”期间累计新增城镇就业人数91.41万人，城镇登记失业率控制在2%左右。社会救助扩面提标，低保标准实现城乡一体化，统一提高至810元/人月，全市特困人员供养实现全覆盖。养老服务提质升级，社区居家养老服务照料中心实现城乡全覆盖，每千名老人拥有社会养老床位数达62张，建成台州市智慧养老监管平台。全民参保计划全面实施，城乡居民社会养老保险达470万人，</w:t>
      </w:r>
      <w:r>
        <w:rPr>
          <w:rFonts w:ascii="仿宋_GB2312" w:hAnsi="Times New Roman" w:eastAsia="仿宋_GB2312" w:cs="Times New Roman"/>
          <w:sz w:val="32"/>
          <w:szCs w:val="32"/>
        </w:rPr>
        <w:t>工伤保险参保人数</w:t>
      </w:r>
      <w:r>
        <w:rPr>
          <w:rFonts w:hint="eastAsia" w:ascii="仿宋_GB2312" w:hAnsi="Times New Roman" w:eastAsia="仿宋_GB2312" w:cs="Times New Roman"/>
          <w:sz w:val="32"/>
          <w:szCs w:val="32"/>
        </w:rPr>
        <w:t>达到244万人。台州市社会福利院开工建设，建成了8个残疾人托养中心，残疾人社会保险和意外伤害保险补贴实现应保尽保。</w:t>
      </w:r>
    </w:p>
    <w:p>
      <w:pPr>
        <w:ind w:firstLine="643" w:firstLineChars="200"/>
        <w:rPr>
          <w:rFonts w:ascii="仿宋_GB2312" w:hAnsi="Times New Roman" w:eastAsia="仿宋_GB2312" w:cs="Times New Roman"/>
          <w:sz w:val="32"/>
          <w:szCs w:val="32"/>
        </w:rPr>
      </w:pPr>
      <w:r>
        <w:rPr>
          <w:rFonts w:hint="eastAsia" w:ascii="仿宋_GB2312" w:eastAsia="仿宋_GB2312"/>
          <w:b/>
          <w:sz w:val="32"/>
          <w:szCs w:val="32"/>
        </w:rPr>
        <w:t>社会产业获得新发展。</w:t>
      </w:r>
      <w:r>
        <w:rPr>
          <w:rFonts w:hint="eastAsia" w:ascii="仿宋_GB2312" w:hAnsi="Times New Roman" w:eastAsia="仿宋_GB2312" w:cs="Times New Roman"/>
          <w:sz w:val="32"/>
          <w:szCs w:val="32"/>
        </w:rPr>
        <w:t>文化产业竞争力明显提升，2020年实现文化产业增加值231亿元，占GDP的比重达4.4%；全市拥有国家级文化产业示范基地2个、省重点文化产业园区 6 个、省文化产业“122”工程企业9家。健康养老服务产业蓬勃发展，台州沪仁医院、玉环怡养康复医院等社会办医项目落地建设，全市共有民营医院达90家；引进上海长庚、无锡朗高等省内外知名养老服务机构，温泉养生、宗教养生、中医养生、山林海洋养生等生态养生业态日益丰富。休闲旅游突破发展，仙居成功创成第二批国家全域旅游示范区，三门县横渡镇岩下潘村、天台县赤城街道塔后村入选第二批全国乡村旅游重点村，旅游总收入突破**亿元。体育产业规模高速增长，全市实现体育及相关产业总产出**亿元。</w:t>
      </w:r>
    </w:p>
    <w:p>
      <w:pPr>
        <w:ind w:firstLine="643" w:firstLineChars="200"/>
        <w:rPr>
          <w:rFonts w:ascii="仿宋_GB2312" w:hAnsi="Times New Roman" w:eastAsia="仿宋_GB2312" w:cs="Times New Roman"/>
          <w:sz w:val="32"/>
          <w:szCs w:val="32"/>
        </w:rPr>
      </w:pPr>
      <w:r>
        <w:rPr>
          <w:rFonts w:hint="eastAsia" w:ascii="仿宋_GB2312" w:eastAsia="仿宋_GB2312"/>
          <w:b/>
          <w:sz w:val="32"/>
          <w:szCs w:val="32"/>
        </w:rPr>
        <w:t>社会治理呈现新局面。</w:t>
      </w:r>
      <w:r>
        <w:rPr>
          <w:rFonts w:hint="eastAsia" w:ascii="仿宋_GB2312" w:hAnsi="Times New Roman" w:eastAsia="仿宋_GB2312" w:cs="Times New Roman"/>
          <w:sz w:val="32"/>
          <w:szCs w:val="32"/>
        </w:rPr>
        <w:t xml:space="preserve">我市被确定为全国市域社会治理现代化第一期试点城市，推荐为全国扫黑除恶专项斗争重点培育市。全省率先开展放心消费城市创建，实现省级食品安全县（市、区）全覆盖，公众药品安全满意率居全省前列。组织实施安全生产综合整治三年行动，亿元GDP生产安全事故死亡率逐年下降。在全国率先建成全市域“无证明城市”，在全省率先开展市级社区治理和服务创新实验区创建活动，举办全国性首届浙江台州社区矫正论坛，市县两级全部成立行政争议调解中心。市县两级均成立了城市管理委员会，市、县、乡三级联动的“大城管”一体化体制机制基本构建。制定出台《台州市企业信用促进条例》，重点领域信用建设基本实现全覆盖。 </w:t>
      </w:r>
    </w:p>
    <w:p>
      <w:pPr>
        <w:ind w:firstLine="643" w:firstLineChars="200"/>
        <w:rPr>
          <w:rFonts w:ascii="仿宋_GB2312" w:hAnsi="Times New Roman" w:eastAsia="仿宋_GB2312" w:cs="Times New Roman"/>
          <w:sz w:val="32"/>
          <w:szCs w:val="32"/>
        </w:rPr>
      </w:pPr>
      <w:r>
        <w:rPr>
          <w:rFonts w:hint="eastAsia" w:ascii="仿宋_GB2312" w:eastAsia="仿宋_GB2312"/>
          <w:b/>
          <w:sz w:val="32"/>
          <w:szCs w:val="32"/>
        </w:rPr>
        <w:t>社会改革实现新突破。</w:t>
      </w:r>
      <w:r>
        <w:rPr>
          <w:rFonts w:hint="eastAsia" w:ascii="仿宋_GB2312" w:hAnsi="Times New Roman" w:eastAsia="仿宋_GB2312" w:cs="Times New Roman"/>
          <w:sz w:val="32"/>
          <w:szCs w:val="32"/>
        </w:rPr>
        <w:t>教育综合改革不断深化，顺利实施市区普通高中一体化，开展教育“一件事”改革创新，中小学校长职级制改革在全省第一个落地，教师“县管校聘”改革实现全覆盖。文化体制改革不断推进，文化机构法人治理结构改革、图书馆文化馆总分馆制、公共文化服务标准体系等创新举措形成“台州经验”，市级主流媒体融合改革深入实施。医疗体制不断健全，我市被列为第四批公立医院改革国家联系试点市和国家城市医联体建设试点市，公立医院综合改革评价居全省第二；率先在全省开展县域医共体薪酬制度改革试点。社会保障制度不断完善，统一大病保险制度，大病保险基金实现市级统收统支。成功获批全国第五批居家和社区养老服务改革试点地区。</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表1  </w:t>
      </w:r>
      <w:r>
        <w:rPr>
          <w:rFonts w:hint="eastAsia" w:ascii="Times New Roman" w:hAnsi="Times New Roman" w:eastAsia="仿宋_GB2312"/>
          <w:b/>
          <w:color w:val="000000" w:themeColor="text1"/>
          <w:sz w:val="32"/>
          <w:szCs w:val="32"/>
          <w14:textFill>
            <w14:solidFill>
              <w14:schemeClr w14:val="tx1"/>
            </w14:solidFill>
          </w14:textFill>
        </w:rPr>
        <w:t>“十三五”社会发展规划目标完成情况</w:t>
      </w:r>
    </w:p>
    <w:tbl>
      <w:tblPr>
        <w:tblStyle w:val="16"/>
        <w:tblW w:w="86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6"/>
        <w:gridCol w:w="426"/>
        <w:gridCol w:w="1549"/>
        <w:gridCol w:w="1664"/>
        <w:gridCol w:w="746"/>
        <w:gridCol w:w="992"/>
        <w:gridCol w:w="850"/>
        <w:gridCol w:w="851"/>
        <w:gridCol w:w="8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restart"/>
            <w:shd w:val="clear" w:color="auto" w:fill="B6DDE8" w:themeFill="accent5" w:themeFillTint="66"/>
            <w:vAlign w:val="center"/>
          </w:tcPr>
          <w:p>
            <w:pPr>
              <w:kinsoku w:val="0"/>
              <w:overflowPunct w:val="0"/>
              <w:autoSpaceDE w:val="0"/>
              <w:autoSpaceDN w:val="0"/>
              <w:adjustRightInd w:val="0"/>
              <w:snapToGrid w:val="0"/>
              <w:spacing w:line="260" w:lineRule="exact"/>
              <w:jc w:val="center"/>
              <w:rPr>
                <w:rFonts w:ascii="Times New Roman"/>
                <w:b/>
                <w:szCs w:val="21"/>
              </w:rPr>
            </w:pPr>
            <w:r>
              <w:rPr>
                <w:rFonts w:hint="eastAsia" w:ascii="Times New Roman"/>
                <w:b/>
                <w:szCs w:val="21"/>
              </w:rPr>
              <w:t>分类</w:t>
            </w:r>
          </w:p>
        </w:tc>
        <w:tc>
          <w:tcPr>
            <w:tcW w:w="426" w:type="dxa"/>
            <w:vMerge w:val="restart"/>
            <w:shd w:val="clear" w:color="auto" w:fill="B6DDE8" w:themeFill="accent5" w:themeFillTint="66"/>
            <w:vAlign w:val="center"/>
          </w:tcPr>
          <w:p>
            <w:pPr>
              <w:kinsoku w:val="0"/>
              <w:overflowPunct w:val="0"/>
              <w:autoSpaceDE w:val="0"/>
              <w:autoSpaceDN w:val="0"/>
              <w:adjustRightInd w:val="0"/>
              <w:snapToGrid w:val="0"/>
              <w:spacing w:line="260" w:lineRule="exact"/>
              <w:jc w:val="center"/>
              <w:rPr>
                <w:rFonts w:ascii="Times New Roman"/>
                <w:b/>
                <w:szCs w:val="21"/>
              </w:rPr>
            </w:pPr>
            <w:r>
              <w:rPr>
                <w:rFonts w:hint="eastAsia" w:ascii="Times New Roman"/>
                <w:b/>
                <w:szCs w:val="21"/>
              </w:rPr>
              <w:t>序号</w:t>
            </w:r>
          </w:p>
        </w:tc>
        <w:tc>
          <w:tcPr>
            <w:tcW w:w="3213" w:type="dxa"/>
            <w:gridSpan w:val="2"/>
            <w:vMerge w:val="restart"/>
            <w:shd w:val="clear" w:color="auto" w:fill="B6DDE8" w:themeFill="accent5" w:themeFillTint="66"/>
            <w:vAlign w:val="center"/>
          </w:tcPr>
          <w:p>
            <w:pPr>
              <w:kinsoku w:val="0"/>
              <w:overflowPunct w:val="0"/>
              <w:autoSpaceDE w:val="0"/>
              <w:autoSpaceDN w:val="0"/>
              <w:adjustRightInd w:val="0"/>
              <w:snapToGrid w:val="0"/>
              <w:spacing w:line="260" w:lineRule="exact"/>
              <w:jc w:val="center"/>
              <w:rPr>
                <w:rFonts w:ascii="Times New Roman"/>
                <w:b/>
                <w:szCs w:val="21"/>
              </w:rPr>
            </w:pPr>
            <w:r>
              <w:rPr>
                <w:rFonts w:hint="eastAsia" w:ascii="Times New Roman"/>
                <w:b/>
                <w:szCs w:val="21"/>
              </w:rPr>
              <w:t>指标名称</w:t>
            </w:r>
          </w:p>
        </w:tc>
        <w:tc>
          <w:tcPr>
            <w:tcW w:w="746" w:type="dxa"/>
            <w:vMerge w:val="restart"/>
            <w:shd w:val="clear" w:color="auto" w:fill="B6DDE8" w:themeFill="accent5" w:themeFillTint="66"/>
            <w:vAlign w:val="center"/>
          </w:tcPr>
          <w:p>
            <w:pPr>
              <w:kinsoku w:val="0"/>
              <w:overflowPunct w:val="0"/>
              <w:autoSpaceDE w:val="0"/>
              <w:autoSpaceDN w:val="0"/>
              <w:adjustRightInd w:val="0"/>
              <w:snapToGrid w:val="0"/>
              <w:spacing w:line="260" w:lineRule="exact"/>
              <w:jc w:val="center"/>
              <w:rPr>
                <w:rFonts w:ascii="Times New Roman"/>
                <w:b/>
                <w:szCs w:val="21"/>
              </w:rPr>
            </w:pPr>
            <w:r>
              <w:rPr>
                <w:rFonts w:hint="eastAsia" w:ascii="Times New Roman"/>
                <w:b/>
                <w:szCs w:val="21"/>
              </w:rPr>
              <w:t>单位</w:t>
            </w:r>
          </w:p>
        </w:tc>
        <w:tc>
          <w:tcPr>
            <w:tcW w:w="1842" w:type="dxa"/>
            <w:gridSpan w:val="2"/>
            <w:shd w:val="clear" w:color="auto" w:fill="B6DDE8" w:themeFill="accent5" w:themeFillTint="66"/>
            <w:vAlign w:val="center"/>
          </w:tcPr>
          <w:p>
            <w:pPr>
              <w:kinsoku w:val="0"/>
              <w:overflowPunct w:val="0"/>
              <w:autoSpaceDE w:val="0"/>
              <w:autoSpaceDN w:val="0"/>
              <w:adjustRightInd w:val="0"/>
              <w:snapToGrid w:val="0"/>
              <w:spacing w:line="260" w:lineRule="exact"/>
              <w:jc w:val="center"/>
              <w:rPr>
                <w:rFonts w:ascii="Times New Roman"/>
                <w:b/>
                <w:szCs w:val="21"/>
              </w:rPr>
            </w:pPr>
            <w:r>
              <w:rPr>
                <w:rFonts w:hint="eastAsia" w:ascii="Times New Roman"/>
                <w:b/>
                <w:szCs w:val="21"/>
              </w:rPr>
              <w:t>规划目标</w:t>
            </w:r>
          </w:p>
        </w:tc>
        <w:tc>
          <w:tcPr>
            <w:tcW w:w="1701" w:type="dxa"/>
            <w:gridSpan w:val="2"/>
            <w:shd w:val="clear" w:color="auto" w:fill="B6DDE8" w:themeFill="accent5" w:themeFillTint="66"/>
            <w:vAlign w:val="center"/>
          </w:tcPr>
          <w:p>
            <w:pPr>
              <w:kinsoku w:val="0"/>
              <w:overflowPunct w:val="0"/>
              <w:autoSpaceDE w:val="0"/>
              <w:autoSpaceDN w:val="0"/>
              <w:adjustRightInd w:val="0"/>
              <w:snapToGrid w:val="0"/>
              <w:spacing w:line="260" w:lineRule="exact"/>
              <w:jc w:val="center"/>
              <w:rPr>
                <w:rFonts w:ascii="Times New Roman"/>
                <w:b/>
                <w:szCs w:val="21"/>
              </w:rPr>
            </w:pPr>
            <w:r>
              <w:rPr>
                <w:rFonts w:hint="eastAsia" w:ascii="Times New Roman"/>
                <w:b/>
                <w:szCs w:val="21"/>
              </w:rPr>
              <w:t>实际完成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continue"/>
            <w:shd w:val="clear" w:color="auto" w:fill="B6DDE8" w:themeFill="accent5" w:themeFillTint="66"/>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p>
        </w:tc>
        <w:tc>
          <w:tcPr>
            <w:tcW w:w="426" w:type="dxa"/>
            <w:vMerge w:val="continue"/>
            <w:shd w:val="clear" w:color="auto" w:fill="B6DDE8" w:themeFill="accent5" w:themeFillTint="66"/>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p>
        </w:tc>
        <w:tc>
          <w:tcPr>
            <w:tcW w:w="3213" w:type="dxa"/>
            <w:gridSpan w:val="2"/>
            <w:vMerge w:val="continue"/>
            <w:shd w:val="clear" w:color="auto" w:fill="B6DDE8" w:themeFill="accent5" w:themeFillTint="66"/>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p>
        </w:tc>
        <w:tc>
          <w:tcPr>
            <w:tcW w:w="746" w:type="dxa"/>
            <w:vMerge w:val="continue"/>
            <w:shd w:val="clear" w:color="auto" w:fill="B6DDE8" w:themeFill="accent5" w:themeFillTint="66"/>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p>
        </w:tc>
        <w:tc>
          <w:tcPr>
            <w:tcW w:w="992" w:type="dxa"/>
            <w:shd w:val="clear" w:color="auto" w:fill="B6DDE8" w:themeFill="accent5" w:themeFillTint="66"/>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r>
              <w:rPr>
                <w:rFonts w:ascii="Times New Roman" w:hAnsi="Times New Roman"/>
                <w:b/>
                <w:szCs w:val="21"/>
              </w:rPr>
              <w:t>2020</w:t>
            </w:r>
            <w:r>
              <w:rPr>
                <w:rFonts w:hint="eastAsia" w:ascii="Times New Roman"/>
                <w:b/>
                <w:szCs w:val="21"/>
              </w:rPr>
              <w:t>年</w:t>
            </w:r>
          </w:p>
        </w:tc>
        <w:tc>
          <w:tcPr>
            <w:tcW w:w="850" w:type="dxa"/>
            <w:shd w:val="clear" w:color="auto" w:fill="B6DDE8" w:themeFill="accent5" w:themeFillTint="66"/>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r>
              <w:rPr>
                <w:rFonts w:hint="eastAsia" w:ascii="Times New Roman"/>
                <w:b/>
                <w:szCs w:val="21"/>
              </w:rPr>
              <w:t>年均</w:t>
            </w:r>
          </w:p>
          <w:p>
            <w:pPr>
              <w:kinsoku w:val="0"/>
              <w:overflowPunct w:val="0"/>
              <w:autoSpaceDE w:val="0"/>
              <w:autoSpaceDN w:val="0"/>
              <w:adjustRightInd w:val="0"/>
              <w:snapToGrid w:val="0"/>
              <w:spacing w:line="260" w:lineRule="exact"/>
              <w:jc w:val="center"/>
              <w:rPr>
                <w:rFonts w:ascii="Times New Roman" w:hAnsi="Times New Roman"/>
                <w:b/>
                <w:szCs w:val="21"/>
              </w:rPr>
            </w:pPr>
            <w:r>
              <w:rPr>
                <w:rFonts w:hint="eastAsia" w:ascii="Times New Roman"/>
                <w:b/>
                <w:szCs w:val="21"/>
              </w:rPr>
              <w:t>增长</w:t>
            </w:r>
          </w:p>
        </w:tc>
        <w:tc>
          <w:tcPr>
            <w:tcW w:w="851" w:type="dxa"/>
            <w:shd w:val="clear" w:color="auto" w:fill="B6DDE8" w:themeFill="accent5" w:themeFillTint="66"/>
            <w:vAlign w:val="center"/>
          </w:tcPr>
          <w:p>
            <w:pPr>
              <w:kinsoku w:val="0"/>
              <w:overflowPunct w:val="0"/>
              <w:autoSpaceDE w:val="0"/>
              <w:autoSpaceDN w:val="0"/>
              <w:adjustRightInd w:val="0"/>
              <w:snapToGrid w:val="0"/>
              <w:spacing w:line="260" w:lineRule="exact"/>
              <w:jc w:val="center"/>
              <w:rPr>
                <w:rFonts w:ascii="Times New Roman"/>
                <w:b/>
                <w:szCs w:val="21"/>
              </w:rPr>
            </w:pPr>
            <w:r>
              <w:rPr>
                <w:rFonts w:hint="eastAsia" w:ascii="Times New Roman"/>
                <w:b/>
                <w:szCs w:val="21"/>
              </w:rPr>
              <w:t>2020年</w:t>
            </w:r>
          </w:p>
        </w:tc>
        <w:tc>
          <w:tcPr>
            <w:tcW w:w="850" w:type="dxa"/>
            <w:shd w:val="clear" w:color="auto" w:fill="B6DDE8" w:themeFill="accent5" w:themeFillTint="66"/>
          </w:tcPr>
          <w:p>
            <w:pPr>
              <w:kinsoku w:val="0"/>
              <w:overflowPunct w:val="0"/>
              <w:autoSpaceDE w:val="0"/>
              <w:autoSpaceDN w:val="0"/>
              <w:adjustRightInd w:val="0"/>
              <w:snapToGrid w:val="0"/>
              <w:spacing w:line="260" w:lineRule="exact"/>
              <w:jc w:val="center"/>
              <w:rPr>
                <w:rFonts w:ascii="Times New Roman"/>
                <w:b/>
                <w:szCs w:val="21"/>
              </w:rPr>
            </w:pPr>
            <w:r>
              <w:rPr>
                <w:rFonts w:hint="eastAsia" w:ascii="Times New Roman"/>
                <w:b/>
                <w:szCs w:val="21"/>
              </w:rPr>
              <w:t>年均增长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restart"/>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r>
              <w:rPr>
                <w:rFonts w:hint="eastAsia" w:ascii="Times New Roman"/>
                <w:b/>
                <w:szCs w:val="21"/>
              </w:rPr>
              <w:t>居民生活</w:t>
            </w:r>
          </w:p>
        </w:tc>
        <w:tc>
          <w:tcPr>
            <w:tcW w:w="42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1</w:t>
            </w:r>
          </w:p>
        </w:tc>
        <w:tc>
          <w:tcPr>
            <w:tcW w:w="3213" w:type="dxa"/>
            <w:gridSpan w:val="2"/>
            <w:vAlign w:val="center"/>
          </w:tcPr>
          <w:p>
            <w:pPr>
              <w:adjustRightInd w:val="0"/>
              <w:snapToGrid w:val="0"/>
              <w:spacing w:line="260" w:lineRule="exact"/>
              <w:rPr>
                <w:rFonts w:ascii="Times New Roman" w:hAnsi="Times New Roman"/>
                <w:szCs w:val="21"/>
              </w:rPr>
            </w:pPr>
            <w:r>
              <w:rPr>
                <w:rFonts w:hint="eastAsia" w:ascii="Times New Roman"/>
                <w:szCs w:val="21"/>
              </w:rPr>
              <w:t>基本养老保险覆盖率</w:t>
            </w:r>
          </w:p>
        </w:tc>
        <w:tc>
          <w:tcPr>
            <w:tcW w:w="74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szCs w:val="21"/>
              </w:rPr>
              <w:t>%</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&gt;95</w:t>
            </w:r>
          </w:p>
        </w:tc>
        <w:tc>
          <w:tcPr>
            <w:tcW w:w="850"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w:t>
            </w:r>
          </w:p>
        </w:tc>
        <w:tc>
          <w:tcPr>
            <w:tcW w:w="851"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850" w:type="dxa"/>
          </w:tcPr>
          <w:p>
            <w:pPr>
              <w:kinsoku w:val="0"/>
              <w:overflowPunct w:val="0"/>
              <w:autoSpaceDE w:val="0"/>
              <w:autoSpaceDN w:val="0"/>
              <w:adjustRightInd w:val="0"/>
              <w:snapToGrid w:val="0"/>
              <w:spacing w:line="26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p>
        </w:tc>
        <w:tc>
          <w:tcPr>
            <w:tcW w:w="42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2</w:t>
            </w:r>
          </w:p>
        </w:tc>
        <w:tc>
          <w:tcPr>
            <w:tcW w:w="3213" w:type="dxa"/>
            <w:gridSpan w:val="2"/>
            <w:vAlign w:val="center"/>
          </w:tcPr>
          <w:p>
            <w:pPr>
              <w:adjustRightInd w:val="0"/>
              <w:snapToGrid w:val="0"/>
              <w:spacing w:line="260" w:lineRule="exact"/>
              <w:rPr>
                <w:rFonts w:ascii="Times New Roman" w:hAnsi="Times New Roman"/>
                <w:szCs w:val="21"/>
              </w:rPr>
            </w:pPr>
            <w:r>
              <w:rPr>
                <w:rFonts w:hint="eastAsia" w:ascii="Times New Roman"/>
                <w:szCs w:val="21"/>
              </w:rPr>
              <w:t>基本医疗保险覆盖率</w:t>
            </w:r>
          </w:p>
        </w:tc>
        <w:tc>
          <w:tcPr>
            <w:tcW w:w="74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szCs w:val="21"/>
              </w:rPr>
              <w:t>%</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&gt;95</w:t>
            </w:r>
          </w:p>
        </w:tc>
        <w:tc>
          <w:tcPr>
            <w:tcW w:w="850"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w:t>
            </w:r>
          </w:p>
        </w:tc>
        <w:tc>
          <w:tcPr>
            <w:tcW w:w="851"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850" w:type="dxa"/>
          </w:tcPr>
          <w:p>
            <w:pPr>
              <w:kinsoku w:val="0"/>
              <w:overflowPunct w:val="0"/>
              <w:autoSpaceDE w:val="0"/>
              <w:autoSpaceDN w:val="0"/>
              <w:adjustRightInd w:val="0"/>
              <w:snapToGrid w:val="0"/>
              <w:spacing w:line="26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p>
        </w:tc>
        <w:tc>
          <w:tcPr>
            <w:tcW w:w="42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3</w:t>
            </w:r>
          </w:p>
        </w:tc>
        <w:tc>
          <w:tcPr>
            <w:tcW w:w="3213" w:type="dxa"/>
            <w:gridSpan w:val="2"/>
            <w:vAlign w:val="center"/>
          </w:tcPr>
          <w:p>
            <w:pPr>
              <w:adjustRightInd w:val="0"/>
              <w:snapToGrid w:val="0"/>
              <w:spacing w:line="260" w:lineRule="exact"/>
              <w:rPr>
                <w:rFonts w:ascii="Times New Roman" w:hAnsi="Times New Roman"/>
                <w:szCs w:val="21"/>
              </w:rPr>
            </w:pPr>
            <w:r>
              <w:rPr>
                <w:rFonts w:hint="eastAsia" w:ascii="Times New Roman"/>
                <w:szCs w:val="21"/>
              </w:rPr>
              <w:t>居民人均可支配收入</w:t>
            </w:r>
          </w:p>
        </w:tc>
        <w:tc>
          <w:tcPr>
            <w:tcW w:w="74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szCs w:val="21"/>
              </w:rPr>
              <w:t>元</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48500</w:t>
            </w:r>
          </w:p>
        </w:tc>
        <w:tc>
          <w:tcPr>
            <w:tcW w:w="850"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7.5%</w:t>
            </w:r>
          </w:p>
        </w:tc>
        <w:tc>
          <w:tcPr>
            <w:tcW w:w="851"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50643</w:t>
            </w:r>
          </w:p>
        </w:tc>
        <w:tc>
          <w:tcPr>
            <w:tcW w:w="850" w:type="dxa"/>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p>
        </w:tc>
        <w:tc>
          <w:tcPr>
            <w:tcW w:w="42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4</w:t>
            </w:r>
          </w:p>
        </w:tc>
        <w:tc>
          <w:tcPr>
            <w:tcW w:w="3213" w:type="dxa"/>
            <w:gridSpan w:val="2"/>
            <w:vAlign w:val="center"/>
          </w:tcPr>
          <w:p>
            <w:pPr>
              <w:kinsoku w:val="0"/>
              <w:overflowPunct w:val="0"/>
              <w:autoSpaceDE w:val="0"/>
              <w:autoSpaceDN w:val="0"/>
              <w:adjustRightInd w:val="0"/>
              <w:snapToGrid w:val="0"/>
              <w:spacing w:line="260" w:lineRule="exact"/>
              <w:rPr>
                <w:rFonts w:ascii="Times New Roman" w:hAnsi="Times New Roman"/>
                <w:szCs w:val="21"/>
              </w:rPr>
            </w:pPr>
            <w:r>
              <w:rPr>
                <w:rFonts w:hint="eastAsia" w:ascii="Times New Roman"/>
                <w:szCs w:val="21"/>
              </w:rPr>
              <w:t>新增城镇就业人数</w:t>
            </w:r>
          </w:p>
        </w:tc>
        <w:tc>
          <w:tcPr>
            <w:tcW w:w="74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szCs w:val="21"/>
              </w:rPr>
              <w:t>万人</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w:t>
            </w:r>
          </w:p>
        </w:tc>
        <w:tc>
          <w:tcPr>
            <w:tcW w:w="850"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szCs w:val="21"/>
              </w:rPr>
              <w:t>[</w:t>
            </w:r>
            <w:r>
              <w:rPr>
                <w:rFonts w:hint="eastAsia" w:ascii="Times New Roman" w:hAnsi="Times New Roman"/>
                <w:szCs w:val="21"/>
              </w:rPr>
              <w:t>30</w:t>
            </w:r>
            <w:r>
              <w:rPr>
                <w:rFonts w:ascii="Times New Roman"/>
                <w:szCs w:val="21"/>
              </w:rPr>
              <w:t>]</w:t>
            </w:r>
          </w:p>
        </w:tc>
        <w:tc>
          <w:tcPr>
            <w:tcW w:w="851" w:type="dxa"/>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91.41</w:t>
            </w:r>
          </w:p>
        </w:tc>
        <w:tc>
          <w:tcPr>
            <w:tcW w:w="850" w:type="dxa"/>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p>
        </w:tc>
        <w:tc>
          <w:tcPr>
            <w:tcW w:w="42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5</w:t>
            </w:r>
          </w:p>
        </w:tc>
        <w:tc>
          <w:tcPr>
            <w:tcW w:w="3213" w:type="dxa"/>
            <w:gridSpan w:val="2"/>
            <w:vAlign w:val="center"/>
          </w:tcPr>
          <w:p>
            <w:pPr>
              <w:kinsoku w:val="0"/>
              <w:overflowPunct w:val="0"/>
              <w:autoSpaceDE w:val="0"/>
              <w:autoSpaceDN w:val="0"/>
              <w:adjustRightInd w:val="0"/>
              <w:snapToGrid w:val="0"/>
              <w:spacing w:line="260" w:lineRule="exact"/>
              <w:rPr>
                <w:rFonts w:ascii="Times New Roman" w:hAnsi="Times New Roman"/>
                <w:szCs w:val="21"/>
              </w:rPr>
            </w:pPr>
            <w:r>
              <w:rPr>
                <w:rFonts w:hint="eastAsia" w:ascii="Times New Roman"/>
                <w:szCs w:val="21"/>
              </w:rPr>
              <w:t>城镇保障性安居工程</w:t>
            </w:r>
          </w:p>
        </w:tc>
        <w:tc>
          <w:tcPr>
            <w:tcW w:w="74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szCs w:val="21"/>
              </w:rPr>
              <w:t>万套</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w:t>
            </w:r>
          </w:p>
        </w:tc>
        <w:tc>
          <w:tcPr>
            <w:tcW w:w="850"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szCs w:val="21"/>
              </w:rPr>
              <w:t>[</w:t>
            </w:r>
            <w:r>
              <w:rPr>
                <w:rFonts w:ascii="Times New Roman" w:hAnsi="Times New Roman"/>
                <w:szCs w:val="21"/>
              </w:rPr>
              <w:t>4]</w:t>
            </w:r>
          </w:p>
        </w:tc>
        <w:tc>
          <w:tcPr>
            <w:tcW w:w="851" w:type="dxa"/>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w:t>
            </w:r>
          </w:p>
        </w:tc>
        <w:tc>
          <w:tcPr>
            <w:tcW w:w="850" w:type="dxa"/>
          </w:tcPr>
          <w:p>
            <w:pPr>
              <w:kinsoku w:val="0"/>
              <w:overflowPunct w:val="0"/>
              <w:autoSpaceDE w:val="0"/>
              <w:autoSpaceDN w:val="0"/>
              <w:adjustRightInd w:val="0"/>
              <w:snapToGrid w:val="0"/>
              <w:spacing w:line="260" w:lineRule="exact"/>
              <w:jc w:val="center"/>
              <w:rPr>
                <w:rFonts w:ascii="Times New Roman"/>
                <w:szCs w:val="21"/>
              </w:rPr>
            </w:pPr>
            <w:r>
              <w:rPr>
                <w:rFonts w:ascii="Times New Roman"/>
                <w:szCs w:val="21"/>
              </w:rPr>
              <w:t>[</w:t>
            </w:r>
            <w:r>
              <w:rPr>
                <w:rFonts w:hint="eastAsia" w:ascii="Times New Roman" w:hAnsi="Times New Roman"/>
                <w:szCs w:val="21"/>
              </w:rPr>
              <w:t>8.1</w:t>
            </w:r>
            <w:r>
              <w:rPr>
                <w:rFonts w:ascii="Times New Roman" w:hAnsi="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restart"/>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r>
              <w:rPr>
                <w:rFonts w:hint="eastAsia" w:ascii="Times New Roman"/>
                <w:b/>
                <w:szCs w:val="21"/>
              </w:rPr>
              <w:t>公共服务</w:t>
            </w:r>
          </w:p>
        </w:tc>
        <w:tc>
          <w:tcPr>
            <w:tcW w:w="42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6</w:t>
            </w:r>
          </w:p>
        </w:tc>
        <w:tc>
          <w:tcPr>
            <w:tcW w:w="3213" w:type="dxa"/>
            <w:gridSpan w:val="2"/>
            <w:vAlign w:val="center"/>
          </w:tcPr>
          <w:p>
            <w:pPr>
              <w:kinsoku w:val="0"/>
              <w:overflowPunct w:val="0"/>
              <w:autoSpaceDE w:val="0"/>
              <w:autoSpaceDN w:val="0"/>
              <w:adjustRightInd w:val="0"/>
              <w:snapToGrid w:val="0"/>
              <w:spacing w:line="260" w:lineRule="exact"/>
              <w:rPr>
                <w:rFonts w:ascii="Times New Roman" w:hAnsi="Times New Roman"/>
                <w:szCs w:val="21"/>
              </w:rPr>
            </w:pPr>
            <w:r>
              <w:rPr>
                <w:rFonts w:hint="eastAsia" w:ascii="Times New Roman"/>
                <w:szCs w:val="21"/>
              </w:rPr>
              <w:t>高中阶段毛入率</w:t>
            </w:r>
          </w:p>
        </w:tc>
        <w:tc>
          <w:tcPr>
            <w:tcW w:w="74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98.5</w:t>
            </w:r>
          </w:p>
        </w:tc>
        <w:tc>
          <w:tcPr>
            <w:tcW w:w="850" w:type="dxa"/>
            <w:vAlign w:val="center"/>
          </w:tcPr>
          <w:p>
            <w:pPr>
              <w:kinsoku w:val="0"/>
              <w:overflowPunct w:val="0"/>
              <w:autoSpaceDE w:val="0"/>
              <w:autoSpaceDN w:val="0"/>
              <w:adjustRightInd w:val="0"/>
              <w:snapToGrid w:val="0"/>
              <w:spacing w:line="260" w:lineRule="exact"/>
              <w:jc w:val="center"/>
              <w:rPr>
                <w:rFonts w:ascii="Times New Roman" w:hAnsi="Times New Roman"/>
                <w:spacing w:val="-10"/>
                <w:szCs w:val="21"/>
              </w:rPr>
            </w:pPr>
            <w:r>
              <w:rPr>
                <w:rFonts w:ascii="Times New Roman" w:hAnsi="Times New Roman"/>
                <w:szCs w:val="21"/>
              </w:rPr>
              <w:t>-</w:t>
            </w:r>
          </w:p>
        </w:tc>
        <w:tc>
          <w:tcPr>
            <w:tcW w:w="851"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850" w:type="dxa"/>
          </w:tcPr>
          <w:p>
            <w:pPr>
              <w:kinsoku w:val="0"/>
              <w:overflowPunct w:val="0"/>
              <w:autoSpaceDE w:val="0"/>
              <w:autoSpaceDN w:val="0"/>
              <w:adjustRightInd w:val="0"/>
              <w:snapToGrid w:val="0"/>
              <w:spacing w:line="26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p>
        </w:tc>
        <w:tc>
          <w:tcPr>
            <w:tcW w:w="42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7</w:t>
            </w:r>
          </w:p>
        </w:tc>
        <w:tc>
          <w:tcPr>
            <w:tcW w:w="3213" w:type="dxa"/>
            <w:gridSpan w:val="2"/>
            <w:vAlign w:val="center"/>
          </w:tcPr>
          <w:p>
            <w:pPr>
              <w:kinsoku w:val="0"/>
              <w:overflowPunct w:val="0"/>
              <w:autoSpaceDE w:val="0"/>
              <w:autoSpaceDN w:val="0"/>
              <w:adjustRightInd w:val="0"/>
              <w:snapToGrid w:val="0"/>
              <w:spacing w:line="260" w:lineRule="exact"/>
              <w:rPr>
                <w:rFonts w:ascii="Times New Roman" w:hAnsi="Times New Roman"/>
                <w:szCs w:val="21"/>
              </w:rPr>
            </w:pPr>
            <w:r>
              <w:rPr>
                <w:rFonts w:hint="eastAsia" w:ascii="Times New Roman"/>
                <w:szCs w:val="21"/>
              </w:rPr>
              <w:t>高等教育毛入学率</w:t>
            </w:r>
          </w:p>
        </w:tc>
        <w:tc>
          <w:tcPr>
            <w:tcW w:w="74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5</w:t>
            </w:r>
            <w:r>
              <w:rPr>
                <w:rFonts w:hint="eastAsia" w:ascii="Times New Roman" w:hAnsi="Times New Roman"/>
                <w:szCs w:val="21"/>
              </w:rPr>
              <w:t>6</w:t>
            </w:r>
          </w:p>
        </w:tc>
        <w:tc>
          <w:tcPr>
            <w:tcW w:w="850" w:type="dxa"/>
            <w:vAlign w:val="center"/>
          </w:tcPr>
          <w:p>
            <w:pPr>
              <w:kinsoku w:val="0"/>
              <w:overflowPunct w:val="0"/>
              <w:autoSpaceDE w:val="0"/>
              <w:autoSpaceDN w:val="0"/>
              <w:adjustRightInd w:val="0"/>
              <w:snapToGrid w:val="0"/>
              <w:spacing w:line="260" w:lineRule="exact"/>
              <w:jc w:val="center"/>
              <w:rPr>
                <w:rFonts w:ascii="Times New Roman" w:hAnsi="Times New Roman"/>
                <w:spacing w:val="-10"/>
                <w:szCs w:val="21"/>
              </w:rPr>
            </w:pPr>
            <w:r>
              <w:rPr>
                <w:rFonts w:ascii="Times New Roman" w:hAnsi="Times New Roman"/>
                <w:spacing w:val="-10"/>
                <w:szCs w:val="21"/>
              </w:rPr>
              <w:t>[3]</w:t>
            </w:r>
          </w:p>
        </w:tc>
        <w:tc>
          <w:tcPr>
            <w:tcW w:w="851" w:type="dxa"/>
            <w:vAlign w:val="center"/>
          </w:tcPr>
          <w:p>
            <w:pPr>
              <w:kinsoku w:val="0"/>
              <w:overflowPunct w:val="0"/>
              <w:autoSpaceDE w:val="0"/>
              <w:autoSpaceDN w:val="0"/>
              <w:adjustRightInd w:val="0"/>
              <w:snapToGrid w:val="0"/>
              <w:spacing w:line="260" w:lineRule="exact"/>
              <w:jc w:val="center"/>
              <w:rPr>
                <w:rFonts w:ascii="Times New Roman" w:hAnsi="Times New Roman"/>
                <w:spacing w:val="-10"/>
                <w:szCs w:val="21"/>
              </w:rPr>
            </w:pPr>
          </w:p>
        </w:tc>
        <w:tc>
          <w:tcPr>
            <w:tcW w:w="850" w:type="dxa"/>
          </w:tcPr>
          <w:p>
            <w:pPr>
              <w:kinsoku w:val="0"/>
              <w:overflowPunct w:val="0"/>
              <w:autoSpaceDE w:val="0"/>
              <w:autoSpaceDN w:val="0"/>
              <w:adjustRightInd w:val="0"/>
              <w:snapToGrid w:val="0"/>
              <w:spacing w:line="260" w:lineRule="exact"/>
              <w:jc w:val="center"/>
              <w:rPr>
                <w:rFonts w:ascii="Times New Roman" w:hAnsi="Times New Roman"/>
                <w:spacing w:val="-1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p>
        </w:tc>
        <w:tc>
          <w:tcPr>
            <w:tcW w:w="42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8</w:t>
            </w:r>
          </w:p>
        </w:tc>
        <w:tc>
          <w:tcPr>
            <w:tcW w:w="3213" w:type="dxa"/>
            <w:gridSpan w:val="2"/>
            <w:vAlign w:val="center"/>
          </w:tcPr>
          <w:p>
            <w:pPr>
              <w:kinsoku w:val="0"/>
              <w:overflowPunct w:val="0"/>
              <w:autoSpaceDE w:val="0"/>
              <w:autoSpaceDN w:val="0"/>
              <w:adjustRightInd w:val="0"/>
              <w:snapToGrid w:val="0"/>
              <w:spacing w:line="260" w:lineRule="exact"/>
              <w:rPr>
                <w:rFonts w:ascii="Times New Roman" w:hAnsi="Times New Roman"/>
                <w:szCs w:val="21"/>
              </w:rPr>
            </w:pPr>
            <w:r>
              <w:rPr>
                <w:rFonts w:hint="eastAsia" w:ascii="Times New Roman"/>
                <w:szCs w:val="21"/>
              </w:rPr>
              <w:t>每千人拥有医疗床位数</w:t>
            </w:r>
          </w:p>
        </w:tc>
        <w:tc>
          <w:tcPr>
            <w:tcW w:w="74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szCs w:val="21"/>
              </w:rPr>
              <w:t>张</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5.53</w:t>
            </w:r>
          </w:p>
        </w:tc>
        <w:tc>
          <w:tcPr>
            <w:tcW w:w="850"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w:t>
            </w:r>
          </w:p>
        </w:tc>
        <w:tc>
          <w:tcPr>
            <w:tcW w:w="851"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5.08</w:t>
            </w:r>
          </w:p>
        </w:tc>
        <w:tc>
          <w:tcPr>
            <w:tcW w:w="850" w:type="dxa"/>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p>
        </w:tc>
        <w:tc>
          <w:tcPr>
            <w:tcW w:w="42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9</w:t>
            </w:r>
          </w:p>
        </w:tc>
        <w:tc>
          <w:tcPr>
            <w:tcW w:w="3213" w:type="dxa"/>
            <w:gridSpan w:val="2"/>
            <w:vAlign w:val="center"/>
          </w:tcPr>
          <w:p>
            <w:pPr>
              <w:kinsoku w:val="0"/>
              <w:overflowPunct w:val="0"/>
              <w:autoSpaceDE w:val="0"/>
              <w:autoSpaceDN w:val="0"/>
              <w:adjustRightInd w:val="0"/>
              <w:snapToGrid w:val="0"/>
              <w:spacing w:line="260" w:lineRule="exact"/>
              <w:rPr>
                <w:rFonts w:ascii="Times New Roman" w:hAnsi="Times New Roman"/>
                <w:szCs w:val="21"/>
              </w:rPr>
            </w:pPr>
            <w:r>
              <w:rPr>
                <w:rFonts w:hint="eastAsia" w:ascii="Times New Roman"/>
                <w:szCs w:val="21"/>
              </w:rPr>
              <w:t>每千人口执业（助理）医师数</w:t>
            </w:r>
          </w:p>
        </w:tc>
        <w:tc>
          <w:tcPr>
            <w:tcW w:w="74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szCs w:val="21"/>
              </w:rPr>
              <w:t>人</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2.9</w:t>
            </w:r>
          </w:p>
        </w:tc>
        <w:tc>
          <w:tcPr>
            <w:tcW w:w="850"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szCs w:val="21"/>
              </w:rPr>
              <w:t>[</w:t>
            </w:r>
            <w:r>
              <w:rPr>
                <w:rFonts w:ascii="Times New Roman" w:hAnsi="Times New Roman"/>
                <w:szCs w:val="21"/>
              </w:rPr>
              <w:t>0.3]</w:t>
            </w:r>
          </w:p>
        </w:tc>
        <w:tc>
          <w:tcPr>
            <w:tcW w:w="851" w:type="dxa"/>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3.26</w:t>
            </w:r>
          </w:p>
        </w:tc>
        <w:tc>
          <w:tcPr>
            <w:tcW w:w="850" w:type="dxa"/>
          </w:tcPr>
          <w:p>
            <w:pPr>
              <w:kinsoku w:val="0"/>
              <w:overflowPunct w:val="0"/>
              <w:autoSpaceDE w:val="0"/>
              <w:autoSpaceDN w:val="0"/>
              <w:adjustRightInd w:val="0"/>
              <w:snapToGrid w:val="0"/>
              <w:spacing w:line="260" w:lineRule="exact"/>
              <w:jc w:val="center"/>
              <w:rPr>
                <w:rFonts w:ascii="Times New Roman"/>
                <w:szCs w:val="21"/>
              </w:rPr>
            </w:pPr>
            <w:r>
              <w:rPr>
                <w:rFonts w:ascii="Times New Roman"/>
                <w:szCs w:val="21"/>
              </w:rPr>
              <w:t>[</w:t>
            </w:r>
            <w:r>
              <w:rPr>
                <w:rFonts w:ascii="Times New Roman" w:hAnsi="Times New Roman"/>
                <w:szCs w:val="21"/>
              </w:rPr>
              <w:t>0.</w:t>
            </w:r>
            <w:r>
              <w:rPr>
                <w:rFonts w:hint="eastAsia" w:ascii="Times New Roman" w:hAnsi="Times New Roman"/>
                <w:szCs w:val="21"/>
              </w:rPr>
              <w:t>66</w:t>
            </w:r>
            <w:r>
              <w:rPr>
                <w:rFonts w:ascii="Times New Roman" w:hAnsi="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p>
        </w:tc>
        <w:tc>
          <w:tcPr>
            <w:tcW w:w="42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10</w:t>
            </w:r>
          </w:p>
        </w:tc>
        <w:tc>
          <w:tcPr>
            <w:tcW w:w="3213" w:type="dxa"/>
            <w:gridSpan w:val="2"/>
            <w:vAlign w:val="center"/>
          </w:tcPr>
          <w:p>
            <w:pPr>
              <w:kinsoku w:val="0"/>
              <w:overflowPunct w:val="0"/>
              <w:autoSpaceDE w:val="0"/>
              <w:autoSpaceDN w:val="0"/>
              <w:adjustRightInd w:val="0"/>
              <w:snapToGrid w:val="0"/>
              <w:spacing w:line="260" w:lineRule="exact"/>
              <w:rPr>
                <w:rFonts w:ascii="Times New Roman" w:hAnsi="Times New Roman"/>
                <w:szCs w:val="21"/>
              </w:rPr>
            </w:pPr>
            <w:r>
              <w:rPr>
                <w:rFonts w:hint="eastAsia" w:ascii="Times New Roman"/>
                <w:szCs w:val="21"/>
              </w:rPr>
              <w:t>每千名老人拥有社会养老床位数</w:t>
            </w:r>
          </w:p>
        </w:tc>
        <w:tc>
          <w:tcPr>
            <w:tcW w:w="74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szCs w:val="21"/>
              </w:rPr>
              <w:t>张</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50</w:t>
            </w:r>
          </w:p>
        </w:tc>
        <w:tc>
          <w:tcPr>
            <w:tcW w:w="850"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szCs w:val="21"/>
              </w:rPr>
              <w:t>[</w:t>
            </w:r>
            <w:r>
              <w:rPr>
                <w:rFonts w:hint="eastAsia" w:ascii="Times New Roman"/>
                <w:szCs w:val="21"/>
              </w:rPr>
              <w:t>1</w:t>
            </w:r>
            <w:r>
              <w:rPr>
                <w:rFonts w:ascii="Times New Roman" w:hAnsi="Times New Roman"/>
                <w:szCs w:val="21"/>
              </w:rPr>
              <w:t>1.6</w:t>
            </w:r>
            <w:r>
              <w:rPr>
                <w:rFonts w:ascii="Times New Roman"/>
                <w:szCs w:val="21"/>
              </w:rPr>
              <w:t>]</w:t>
            </w:r>
          </w:p>
        </w:tc>
        <w:tc>
          <w:tcPr>
            <w:tcW w:w="851" w:type="dxa"/>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60</w:t>
            </w:r>
          </w:p>
        </w:tc>
        <w:tc>
          <w:tcPr>
            <w:tcW w:w="850" w:type="dxa"/>
          </w:tcPr>
          <w:p>
            <w:pPr>
              <w:kinsoku w:val="0"/>
              <w:overflowPunct w:val="0"/>
              <w:autoSpaceDE w:val="0"/>
              <w:autoSpaceDN w:val="0"/>
              <w:adjustRightInd w:val="0"/>
              <w:snapToGrid w:val="0"/>
              <w:spacing w:line="260" w:lineRule="exact"/>
              <w:jc w:val="center"/>
              <w:rPr>
                <w:rFonts w:ascii="Times New Roman"/>
                <w:szCs w:val="21"/>
              </w:rPr>
            </w:pPr>
            <w:r>
              <w:rPr>
                <w:rFonts w:ascii="Times New Roman"/>
                <w:szCs w:val="21"/>
              </w:rPr>
              <w:t>[</w:t>
            </w:r>
            <w:r>
              <w:rPr>
                <w:rFonts w:hint="eastAsia" w:ascii="Times New Roman"/>
                <w:szCs w:val="21"/>
              </w:rPr>
              <w:t>2</w:t>
            </w:r>
            <w:r>
              <w:rPr>
                <w:rFonts w:ascii="Times New Roman" w:hAnsi="Times New Roman"/>
                <w:szCs w:val="21"/>
              </w:rPr>
              <w:t>1.6</w:t>
            </w:r>
            <w:r>
              <w:rPr>
                <w:rFonts w:ascii="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p>
        </w:tc>
        <w:tc>
          <w:tcPr>
            <w:tcW w:w="42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11</w:t>
            </w:r>
          </w:p>
        </w:tc>
        <w:tc>
          <w:tcPr>
            <w:tcW w:w="3213" w:type="dxa"/>
            <w:gridSpan w:val="2"/>
            <w:vAlign w:val="center"/>
          </w:tcPr>
          <w:p>
            <w:pPr>
              <w:kinsoku w:val="0"/>
              <w:overflowPunct w:val="0"/>
              <w:autoSpaceDE w:val="0"/>
              <w:autoSpaceDN w:val="0"/>
              <w:adjustRightInd w:val="0"/>
              <w:snapToGrid w:val="0"/>
              <w:spacing w:line="260" w:lineRule="exact"/>
              <w:rPr>
                <w:rFonts w:ascii="Times New Roman" w:hAnsi="Times New Roman"/>
                <w:szCs w:val="21"/>
              </w:rPr>
            </w:pPr>
            <w:r>
              <w:rPr>
                <w:rFonts w:hint="eastAsia" w:ascii="Times New Roman"/>
                <w:szCs w:val="21"/>
              </w:rPr>
              <w:t>人均公共体育设施面积</w:t>
            </w:r>
          </w:p>
        </w:tc>
        <w:tc>
          <w:tcPr>
            <w:tcW w:w="74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M</w:t>
            </w:r>
            <w:r>
              <w:rPr>
                <w:rFonts w:ascii="Times New Roman" w:hAnsi="Times New Roman"/>
                <w:szCs w:val="21"/>
                <w:vertAlign w:val="superscript"/>
              </w:rPr>
              <w:t>2</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1.9</w:t>
            </w:r>
          </w:p>
        </w:tc>
        <w:tc>
          <w:tcPr>
            <w:tcW w:w="850"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szCs w:val="21"/>
              </w:rPr>
              <w:t>[</w:t>
            </w:r>
            <w:r>
              <w:rPr>
                <w:rFonts w:ascii="Times New Roman" w:hAnsi="Times New Roman"/>
                <w:szCs w:val="21"/>
              </w:rPr>
              <w:t>0.35</w:t>
            </w:r>
            <w:r>
              <w:rPr>
                <w:rFonts w:ascii="Times New Roman"/>
                <w:szCs w:val="21"/>
              </w:rPr>
              <w:t>]</w:t>
            </w:r>
          </w:p>
        </w:tc>
        <w:tc>
          <w:tcPr>
            <w:tcW w:w="851" w:type="dxa"/>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2.28</w:t>
            </w:r>
          </w:p>
        </w:tc>
        <w:tc>
          <w:tcPr>
            <w:tcW w:w="850" w:type="dxa"/>
          </w:tcPr>
          <w:p>
            <w:pPr>
              <w:kinsoku w:val="0"/>
              <w:overflowPunct w:val="0"/>
              <w:autoSpaceDE w:val="0"/>
              <w:autoSpaceDN w:val="0"/>
              <w:adjustRightInd w:val="0"/>
              <w:snapToGrid w:val="0"/>
              <w:spacing w:line="260" w:lineRule="exact"/>
              <w:jc w:val="center"/>
              <w:rPr>
                <w:rFonts w:ascii="Times New Roman"/>
                <w:szCs w:val="21"/>
              </w:rPr>
            </w:pPr>
            <w:r>
              <w:rPr>
                <w:rFonts w:ascii="Times New Roman"/>
                <w:szCs w:val="21"/>
              </w:rPr>
              <w:t>[</w:t>
            </w:r>
            <w:r>
              <w:rPr>
                <w:rFonts w:ascii="Times New Roman" w:hAnsi="Times New Roman"/>
                <w:szCs w:val="21"/>
              </w:rPr>
              <w:t>0.</w:t>
            </w:r>
            <w:r>
              <w:rPr>
                <w:rFonts w:hint="eastAsia" w:ascii="Times New Roman" w:hAnsi="Times New Roman"/>
                <w:szCs w:val="21"/>
              </w:rPr>
              <w:t>73</w:t>
            </w:r>
            <w:r>
              <w:rPr>
                <w:rFonts w:ascii="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restart"/>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r>
              <w:rPr>
                <w:rFonts w:hint="eastAsia" w:ascii="Times New Roman"/>
                <w:b/>
                <w:szCs w:val="21"/>
              </w:rPr>
              <w:t>社会结构</w:t>
            </w:r>
          </w:p>
        </w:tc>
        <w:tc>
          <w:tcPr>
            <w:tcW w:w="42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12</w:t>
            </w:r>
          </w:p>
        </w:tc>
        <w:tc>
          <w:tcPr>
            <w:tcW w:w="3213" w:type="dxa"/>
            <w:gridSpan w:val="2"/>
            <w:vAlign w:val="center"/>
          </w:tcPr>
          <w:p>
            <w:pPr>
              <w:kinsoku w:val="0"/>
              <w:overflowPunct w:val="0"/>
              <w:autoSpaceDE w:val="0"/>
              <w:autoSpaceDN w:val="0"/>
              <w:adjustRightInd w:val="0"/>
              <w:snapToGrid w:val="0"/>
              <w:spacing w:line="260" w:lineRule="exact"/>
              <w:rPr>
                <w:rFonts w:ascii="Times New Roman" w:hAnsi="Times New Roman"/>
                <w:szCs w:val="21"/>
              </w:rPr>
            </w:pPr>
            <w:r>
              <w:rPr>
                <w:rFonts w:hint="eastAsia" w:ascii="Times New Roman"/>
                <w:szCs w:val="21"/>
              </w:rPr>
              <w:t>人口自然增长率</w:t>
            </w:r>
          </w:p>
        </w:tc>
        <w:tc>
          <w:tcPr>
            <w:tcW w:w="74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&lt;6</w:t>
            </w:r>
          </w:p>
        </w:tc>
        <w:tc>
          <w:tcPr>
            <w:tcW w:w="850"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w:t>
            </w:r>
          </w:p>
        </w:tc>
        <w:tc>
          <w:tcPr>
            <w:tcW w:w="851"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850" w:type="dxa"/>
          </w:tcPr>
          <w:p>
            <w:pPr>
              <w:kinsoku w:val="0"/>
              <w:overflowPunct w:val="0"/>
              <w:autoSpaceDE w:val="0"/>
              <w:autoSpaceDN w:val="0"/>
              <w:adjustRightInd w:val="0"/>
              <w:snapToGrid w:val="0"/>
              <w:spacing w:line="26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p>
        </w:tc>
        <w:tc>
          <w:tcPr>
            <w:tcW w:w="42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13</w:t>
            </w:r>
          </w:p>
        </w:tc>
        <w:tc>
          <w:tcPr>
            <w:tcW w:w="3213" w:type="dxa"/>
            <w:gridSpan w:val="2"/>
            <w:vAlign w:val="center"/>
          </w:tcPr>
          <w:p>
            <w:pPr>
              <w:kinsoku w:val="0"/>
              <w:overflowPunct w:val="0"/>
              <w:autoSpaceDE w:val="0"/>
              <w:autoSpaceDN w:val="0"/>
              <w:adjustRightInd w:val="0"/>
              <w:snapToGrid w:val="0"/>
              <w:spacing w:line="260" w:lineRule="exact"/>
              <w:rPr>
                <w:rFonts w:ascii="Times New Roman" w:hAnsi="Times New Roman"/>
                <w:szCs w:val="21"/>
              </w:rPr>
            </w:pPr>
            <w:r>
              <w:rPr>
                <w:rFonts w:hint="eastAsia" w:ascii="Times New Roman"/>
                <w:szCs w:val="21"/>
              </w:rPr>
              <w:t>人均期望寿命</w:t>
            </w:r>
          </w:p>
        </w:tc>
        <w:tc>
          <w:tcPr>
            <w:tcW w:w="74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szCs w:val="21"/>
              </w:rPr>
              <w:t>年</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79.3</w:t>
            </w:r>
          </w:p>
        </w:tc>
        <w:tc>
          <w:tcPr>
            <w:tcW w:w="850"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szCs w:val="21"/>
              </w:rPr>
              <w:t>[</w:t>
            </w:r>
            <w:r>
              <w:rPr>
                <w:rFonts w:ascii="Times New Roman" w:hAnsi="Times New Roman"/>
                <w:szCs w:val="21"/>
              </w:rPr>
              <w:t>0.</w:t>
            </w:r>
            <w:r>
              <w:rPr>
                <w:rFonts w:hint="eastAsia" w:ascii="Times New Roman" w:hAnsi="Times New Roman"/>
                <w:szCs w:val="21"/>
              </w:rPr>
              <w:t>3</w:t>
            </w:r>
            <w:r>
              <w:rPr>
                <w:rFonts w:ascii="Times New Roman"/>
                <w:szCs w:val="21"/>
              </w:rPr>
              <w:t>]</w:t>
            </w:r>
          </w:p>
        </w:tc>
        <w:tc>
          <w:tcPr>
            <w:tcW w:w="851" w:type="dxa"/>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81.33</w:t>
            </w:r>
          </w:p>
        </w:tc>
        <w:tc>
          <w:tcPr>
            <w:tcW w:w="850" w:type="dxa"/>
          </w:tcPr>
          <w:p>
            <w:pPr>
              <w:kinsoku w:val="0"/>
              <w:overflowPunct w:val="0"/>
              <w:autoSpaceDE w:val="0"/>
              <w:autoSpaceDN w:val="0"/>
              <w:adjustRightInd w:val="0"/>
              <w:snapToGrid w:val="0"/>
              <w:spacing w:line="260" w:lineRule="exact"/>
              <w:jc w:val="center"/>
              <w:rPr>
                <w:rFonts w:ascii="Times New Roman"/>
                <w:szCs w:val="21"/>
              </w:rPr>
            </w:pPr>
            <w:r>
              <w:rPr>
                <w:rFonts w:ascii="Times New Roman"/>
                <w:szCs w:val="21"/>
              </w:rPr>
              <w:t>[</w:t>
            </w:r>
            <w:r>
              <w:rPr>
                <w:rFonts w:hint="eastAsia" w:ascii="Times New Roman" w:hAnsi="Times New Roman"/>
                <w:szCs w:val="21"/>
              </w:rPr>
              <w:t>2</w:t>
            </w:r>
            <w:r>
              <w:rPr>
                <w:rFonts w:ascii="Times New Roman" w:hAnsi="Times New Roman"/>
                <w:szCs w:val="21"/>
              </w:rPr>
              <w:t>.</w:t>
            </w:r>
            <w:r>
              <w:rPr>
                <w:rFonts w:hint="eastAsia" w:ascii="Times New Roman" w:hAnsi="Times New Roman"/>
                <w:szCs w:val="21"/>
              </w:rPr>
              <w:t>33</w:t>
            </w:r>
            <w:r>
              <w:rPr>
                <w:rFonts w:ascii="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p>
        </w:tc>
        <w:tc>
          <w:tcPr>
            <w:tcW w:w="42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14</w:t>
            </w:r>
          </w:p>
        </w:tc>
        <w:tc>
          <w:tcPr>
            <w:tcW w:w="3213" w:type="dxa"/>
            <w:gridSpan w:val="2"/>
            <w:vAlign w:val="center"/>
          </w:tcPr>
          <w:p>
            <w:pPr>
              <w:kinsoku w:val="0"/>
              <w:overflowPunct w:val="0"/>
              <w:autoSpaceDE w:val="0"/>
              <w:autoSpaceDN w:val="0"/>
              <w:adjustRightInd w:val="0"/>
              <w:snapToGrid w:val="0"/>
              <w:spacing w:line="260" w:lineRule="exact"/>
              <w:rPr>
                <w:rFonts w:ascii="Times New Roman" w:hAnsi="Times New Roman"/>
                <w:szCs w:val="21"/>
              </w:rPr>
            </w:pPr>
            <w:r>
              <w:rPr>
                <w:rFonts w:hint="eastAsia" w:ascii="Times New Roman"/>
                <w:szCs w:val="21"/>
              </w:rPr>
              <w:t>高技能人才总量</w:t>
            </w:r>
          </w:p>
        </w:tc>
        <w:tc>
          <w:tcPr>
            <w:tcW w:w="74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szCs w:val="21"/>
              </w:rPr>
              <w:t>万人</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24</w:t>
            </w:r>
          </w:p>
        </w:tc>
        <w:tc>
          <w:tcPr>
            <w:tcW w:w="850"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szCs w:val="21"/>
              </w:rPr>
              <w:t>[</w:t>
            </w:r>
            <w:r>
              <w:rPr>
                <w:rFonts w:ascii="Times New Roman" w:hAnsi="Times New Roman"/>
                <w:szCs w:val="21"/>
              </w:rPr>
              <w:t>9</w:t>
            </w:r>
            <w:r>
              <w:rPr>
                <w:rFonts w:ascii="Times New Roman"/>
                <w:szCs w:val="21"/>
              </w:rPr>
              <w:t>]</w:t>
            </w:r>
          </w:p>
        </w:tc>
        <w:tc>
          <w:tcPr>
            <w:tcW w:w="851" w:type="dxa"/>
            <w:vAlign w:val="center"/>
          </w:tcPr>
          <w:p>
            <w:pPr>
              <w:kinsoku w:val="0"/>
              <w:overflowPunct w:val="0"/>
              <w:autoSpaceDE w:val="0"/>
              <w:autoSpaceDN w:val="0"/>
              <w:adjustRightInd w:val="0"/>
              <w:snapToGrid w:val="0"/>
              <w:spacing w:line="260" w:lineRule="exact"/>
              <w:jc w:val="center"/>
              <w:rPr>
                <w:rFonts w:ascii="Times New Roman"/>
                <w:szCs w:val="21"/>
              </w:rPr>
            </w:pPr>
          </w:p>
        </w:tc>
        <w:tc>
          <w:tcPr>
            <w:tcW w:w="850" w:type="dxa"/>
          </w:tcPr>
          <w:p>
            <w:pPr>
              <w:kinsoku w:val="0"/>
              <w:overflowPunct w:val="0"/>
              <w:autoSpaceDE w:val="0"/>
              <w:autoSpaceDN w:val="0"/>
              <w:adjustRightInd w:val="0"/>
              <w:snapToGrid w:val="0"/>
              <w:spacing w:line="260" w:lineRule="exact"/>
              <w:jc w:val="center"/>
              <w:rPr>
                <w:rFonts w:asci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p>
        </w:tc>
        <w:tc>
          <w:tcPr>
            <w:tcW w:w="42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15</w:t>
            </w:r>
          </w:p>
        </w:tc>
        <w:tc>
          <w:tcPr>
            <w:tcW w:w="3213" w:type="dxa"/>
            <w:gridSpan w:val="2"/>
            <w:vAlign w:val="center"/>
          </w:tcPr>
          <w:p>
            <w:pPr>
              <w:kinsoku w:val="0"/>
              <w:overflowPunct w:val="0"/>
              <w:autoSpaceDE w:val="0"/>
              <w:autoSpaceDN w:val="0"/>
              <w:adjustRightInd w:val="0"/>
              <w:snapToGrid w:val="0"/>
              <w:spacing w:line="260" w:lineRule="exact"/>
              <w:rPr>
                <w:rFonts w:ascii="Times New Roman" w:hAnsi="Times New Roman"/>
                <w:szCs w:val="21"/>
              </w:rPr>
            </w:pPr>
            <w:r>
              <w:rPr>
                <w:rFonts w:hint="eastAsia" w:ascii="Times New Roman"/>
                <w:szCs w:val="21"/>
              </w:rPr>
              <w:t>新增劳动力平均受教育年限</w:t>
            </w:r>
          </w:p>
        </w:tc>
        <w:tc>
          <w:tcPr>
            <w:tcW w:w="74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szCs w:val="21"/>
              </w:rPr>
              <w:t>年</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14</w:t>
            </w:r>
          </w:p>
        </w:tc>
        <w:tc>
          <w:tcPr>
            <w:tcW w:w="850"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szCs w:val="21"/>
              </w:rPr>
              <w:t>[</w:t>
            </w:r>
            <w:r>
              <w:rPr>
                <w:rFonts w:ascii="Times New Roman" w:hAnsi="Times New Roman"/>
                <w:szCs w:val="21"/>
              </w:rPr>
              <w:t>0.2</w:t>
            </w:r>
            <w:r>
              <w:rPr>
                <w:rFonts w:ascii="Times New Roman"/>
                <w:szCs w:val="21"/>
              </w:rPr>
              <w:t>]</w:t>
            </w:r>
          </w:p>
        </w:tc>
        <w:tc>
          <w:tcPr>
            <w:tcW w:w="851" w:type="dxa"/>
            <w:vAlign w:val="center"/>
          </w:tcPr>
          <w:p>
            <w:pPr>
              <w:kinsoku w:val="0"/>
              <w:overflowPunct w:val="0"/>
              <w:autoSpaceDE w:val="0"/>
              <w:autoSpaceDN w:val="0"/>
              <w:adjustRightInd w:val="0"/>
              <w:snapToGrid w:val="0"/>
              <w:spacing w:line="260" w:lineRule="exact"/>
              <w:jc w:val="center"/>
              <w:rPr>
                <w:rFonts w:ascii="Times New Roman"/>
                <w:szCs w:val="21"/>
              </w:rPr>
            </w:pPr>
          </w:p>
        </w:tc>
        <w:tc>
          <w:tcPr>
            <w:tcW w:w="850" w:type="dxa"/>
          </w:tcPr>
          <w:p>
            <w:pPr>
              <w:kinsoku w:val="0"/>
              <w:overflowPunct w:val="0"/>
              <w:autoSpaceDE w:val="0"/>
              <w:autoSpaceDN w:val="0"/>
              <w:adjustRightInd w:val="0"/>
              <w:snapToGrid w:val="0"/>
              <w:spacing w:line="260" w:lineRule="exact"/>
              <w:jc w:val="center"/>
              <w:rPr>
                <w:rFonts w:asci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p>
        </w:tc>
        <w:tc>
          <w:tcPr>
            <w:tcW w:w="426" w:type="dxa"/>
            <w:vMerge w:val="restart"/>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16</w:t>
            </w:r>
          </w:p>
        </w:tc>
        <w:tc>
          <w:tcPr>
            <w:tcW w:w="1549" w:type="dxa"/>
            <w:vMerge w:val="restart"/>
            <w:vAlign w:val="center"/>
          </w:tcPr>
          <w:p>
            <w:pPr>
              <w:kinsoku w:val="0"/>
              <w:overflowPunct w:val="0"/>
              <w:autoSpaceDE w:val="0"/>
              <w:autoSpaceDN w:val="0"/>
              <w:adjustRightInd w:val="0"/>
              <w:snapToGrid w:val="0"/>
              <w:spacing w:line="260" w:lineRule="exact"/>
              <w:rPr>
                <w:rFonts w:ascii="Times New Roman" w:hAnsi="Times New Roman"/>
                <w:szCs w:val="21"/>
              </w:rPr>
            </w:pPr>
            <w:r>
              <w:rPr>
                <w:rFonts w:hint="eastAsia" w:ascii="Times New Roman"/>
                <w:szCs w:val="21"/>
              </w:rPr>
              <w:t>城市化率</w:t>
            </w:r>
          </w:p>
        </w:tc>
        <w:tc>
          <w:tcPr>
            <w:tcW w:w="1664" w:type="dxa"/>
            <w:vAlign w:val="center"/>
          </w:tcPr>
          <w:p>
            <w:pPr>
              <w:kinsoku w:val="0"/>
              <w:overflowPunct w:val="0"/>
              <w:autoSpaceDE w:val="0"/>
              <w:autoSpaceDN w:val="0"/>
              <w:adjustRightInd w:val="0"/>
              <w:snapToGrid w:val="0"/>
              <w:spacing w:line="260" w:lineRule="exact"/>
              <w:rPr>
                <w:rFonts w:ascii="Times New Roman" w:hAnsi="Times New Roman"/>
                <w:szCs w:val="21"/>
              </w:rPr>
            </w:pPr>
            <w:r>
              <w:rPr>
                <w:rFonts w:hint="eastAsia" w:ascii="Times New Roman"/>
                <w:szCs w:val="21"/>
              </w:rPr>
              <w:t>常住人口城市化率</w:t>
            </w:r>
          </w:p>
        </w:tc>
        <w:tc>
          <w:tcPr>
            <w:tcW w:w="74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66</w:t>
            </w:r>
          </w:p>
        </w:tc>
        <w:tc>
          <w:tcPr>
            <w:tcW w:w="850"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[5.7]</w:t>
            </w:r>
          </w:p>
        </w:tc>
        <w:tc>
          <w:tcPr>
            <w:tcW w:w="851" w:type="dxa"/>
            <w:vAlign w:val="center"/>
          </w:tcPr>
          <w:p>
            <w:pPr>
              <w:snapToGrid w:val="0"/>
              <w:jc w:val="center"/>
              <w:rPr>
                <w:rFonts w:ascii="Times New Roman" w:hAnsi="Times New Roman"/>
                <w:szCs w:val="21"/>
              </w:rPr>
            </w:pPr>
            <w:r>
              <w:rPr>
                <w:rFonts w:hint="eastAsia" w:ascii="Times New Roman" w:hAnsi="Times New Roman"/>
                <w:szCs w:val="21"/>
              </w:rPr>
              <w:t>64.4</w:t>
            </w:r>
          </w:p>
        </w:tc>
        <w:tc>
          <w:tcPr>
            <w:tcW w:w="850" w:type="dxa"/>
            <w:vAlign w:val="center"/>
          </w:tcPr>
          <w:p>
            <w:pPr>
              <w:snapToGrid w:val="0"/>
              <w:jc w:val="center"/>
              <w:rPr>
                <w:rFonts w:ascii="Times New Roman" w:hAnsi="Times New Roman"/>
                <w:szCs w:val="21"/>
              </w:rPr>
            </w:pPr>
            <w:r>
              <w:rPr>
                <w:rFonts w:hint="eastAsia" w:ascii="Times New Roman" w:hAnsi="Times New Roman"/>
                <w:szCs w:val="21"/>
              </w:rPr>
              <w:t>[4.1]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p>
        </w:tc>
        <w:tc>
          <w:tcPr>
            <w:tcW w:w="426" w:type="dxa"/>
            <w:vMerge w:val="continue"/>
            <w:vAlign w:val="center"/>
          </w:tcPr>
          <w:p>
            <w:pPr>
              <w:numPr>
                <w:ilvl w:val="0"/>
                <w:numId w:val="1"/>
              </w:numPr>
              <w:kinsoku w:val="0"/>
              <w:overflowPunct w:val="0"/>
              <w:autoSpaceDE w:val="0"/>
              <w:autoSpaceDN w:val="0"/>
              <w:adjustRightInd w:val="0"/>
              <w:snapToGrid w:val="0"/>
              <w:spacing w:line="260" w:lineRule="exact"/>
              <w:jc w:val="center"/>
              <w:rPr>
                <w:rFonts w:ascii="Times New Roman" w:hAnsi="Times New Roman"/>
                <w:szCs w:val="21"/>
              </w:rPr>
            </w:pPr>
          </w:p>
        </w:tc>
        <w:tc>
          <w:tcPr>
            <w:tcW w:w="1549" w:type="dxa"/>
            <w:vMerge w:val="continue"/>
            <w:vAlign w:val="center"/>
          </w:tcPr>
          <w:p>
            <w:pPr>
              <w:kinsoku w:val="0"/>
              <w:overflowPunct w:val="0"/>
              <w:autoSpaceDE w:val="0"/>
              <w:autoSpaceDN w:val="0"/>
              <w:adjustRightInd w:val="0"/>
              <w:snapToGrid w:val="0"/>
              <w:spacing w:line="260" w:lineRule="exact"/>
              <w:rPr>
                <w:rFonts w:ascii="Times New Roman" w:hAnsi="Times New Roman"/>
                <w:szCs w:val="21"/>
              </w:rPr>
            </w:pPr>
          </w:p>
        </w:tc>
        <w:tc>
          <w:tcPr>
            <w:tcW w:w="1664" w:type="dxa"/>
            <w:vAlign w:val="center"/>
          </w:tcPr>
          <w:p>
            <w:pPr>
              <w:kinsoku w:val="0"/>
              <w:overflowPunct w:val="0"/>
              <w:autoSpaceDE w:val="0"/>
              <w:autoSpaceDN w:val="0"/>
              <w:adjustRightInd w:val="0"/>
              <w:snapToGrid w:val="0"/>
              <w:spacing w:line="260" w:lineRule="exact"/>
              <w:rPr>
                <w:rFonts w:ascii="Times New Roman" w:hAnsi="Times New Roman"/>
                <w:szCs w:val="21"/>
              </w:rPr>
            </w:pPr>
            <w:r>
              <w:rPr>
                <w:rFonts w:hint="eastAsia" w:ascii="Times New Roman"/>
                <w:szCs w:val="21"/>
              </w:rPr>
              <w:t>户籍人口城市化率</w:t>
            </w:r>
          </w:p>
        </w:tc>
        <w:tc>
          <w:tcPr>
            <w:tcW w:w="74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47</w:t>
            </w:r>
          </w:p>
        </w:tc>
        <w:tc>
          <w:tcPr>
            <w:tcW w:w="850"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[3.43]</w:t>
            </w:r>
          </w:p>
        </w:tc>
        <w:tc>
          <w:tcPr>
            <w:tcW w:w="851" w:type="dxa"/>
            <w:vAlign w:val="center"/>
          </w:tcPr>
          <w:p>
            <w:pPr>
              <w:snapToGrid w:val="0"/>
              <w:jc w:val="center"/>
              <w:rPr>
                <w:rFonts w:ascii="Times New Roman" w:hAnsi="Times New Roman"/>
                <w:szCs w:val="21"/>
              </w:rPr>
            </w:pPr>
            <w:r>
              <w:rPr>
                <w:rFonts w:hint="eastAsia" w:ascii="Times New Roman" w:hAnsi="Times New Roman"/>
                <w:szCs w:val="21"/>
              </w:rPr>
              <w:t>46.37</w:t>
            </w:r>
          </w:p>
        </w:tc>
        <w:tc>
          <w:tcPr>
            <w:tcW w:w="850" w:type="dxa"/>
            <w:vAlign w:val="center"/>
          </w:tcPr>
          <w:p>
            <w:pPr>
              <w:snapToGrid w:val="0"/>
              <w:jc w:val="center"/>
              <w:rPr>
                <w:rFonts w:ascii="Times New Roman" w:hAnsi="Times New Roman"/>
                <w:szCs w:val="21"/>
              </w:rPr>
            </w:pPr>
            <w:r>
              <w:rPr>
                <w:rFonts w:hint="eastAsia" w:ascii="Times New Roman" w:hAnsi="Times New Roman"/>
                <w:szCs w:val="21"/>
              </w:rPr>
              <w:t>[2.8]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restart"/>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r>
              <w:rPr>
                <w:rFonts w:hint="eastAsia" w:ascii="Times New Roman"/>
                <w:b/>
                <w:szCs w:val="21"/>
              </w:rPr>
              <w:t>社会产业</w:t>
            </w:r>
          </w:p>
        </w:tc>
        <w:tc>
          <w:tcPr>
            <w:tcW w:w="42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17</w:t>
            </w:r>
          </w:p>
        </w:tc>
        <w:tc>
          <w:tcPr>
            <w:tcW w:w="3213" w:type="dxa"/>
            <w:gridSpan w:val="2"/>
            <w:vAlign w:val="center"/>
          </w:tcPr>
          <w:p>
            <w:pPr>
              <w:kinsoku w:val="0"/>
              <w:overflowPunct w:val="0"/>
              <w:autoSpaceDE w:val="0"/>
              <w:autoSpaceDN w:val="0"/>
              <w:adjustRightInd w:val="0"/>
              <w:snapToGrid w:val="0"/>
              <w:spacing w:line="260" w:lineRule="exact"/>
              <w:rPr>
                <w:rFonts w:ascii="Times New Roman" w:hAnsi="Times New Roman"/>
                <w:szCs w:val="21"/>
              </w:rPr>
            </w:pPr>
            <w:r>
              <w:rPr>
                <w:rFonts w:hint="eastAsia" w:ascii="Times New Roman"/>
                <w:szCs w:val="21"/>
              </w:rPr>
              <w:t>文化产业增加值占</w:t>
            </w:r>
            <w:r>
              <w:rPr>
                <w:rFonts w:ascii="Times New Roman" w:hAnsi="Times New Roman"/>
                <w:szCs w:val="21"/>
              </w:rPr>
              <w:t>GDP</w:t>
            </w:r>
            <w:r>
              <w:rPr>
                <w:rFonts w:hint="eastAsia" w:ascii="Times New Roman"/>
                <w:szCs w:val="21"/>
              </w:rPr>
              <w:t>比重</w:t>
            </w:r>
          </w:p>
        </w:tc>
        <w:tc>
          <w:tcPr>
            <w:tcW w:w="74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8</w:t>
            </w:r>
          </w:p>
        </w:tc>
        <w:tc>
          <w:tcPr>
            <w:tcW w:w="850"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szCs w:val="21"/>
              </w:rPr>
              <w:t>[</w:t>
            </w:r>
            <w:r>
              <w:rPr>
                <w:rFonts w:ascii="Times New Roman" w:hAnsi="Times New Roman"/>
                <w:szCs w:val="21"/>
              </w:rPr>
              <w:t>3.</w:t>
            </w:r>
            <w:r>
              <w:rPr>
                <w:rFonts w:hint="eastAsia" w:ascii="Times New Roman" w:hAnsi="Times New Roman"/>
                <w:szCs w:val="21"/>
              </w:rPr>
              <w:t>58</w:t>
            </w:r>
            <w:r>
              <w:rPr>
                <w:rFonts w:ascii="Times New Roman"/>
                <w:szCs w:val="21"/>
              </w:rPr>
              <w:t>]</w:t>
            </w:r>
          </w:p>
        </w:tc>
        <w:tc>
          <w:tcPr>
            <w:tcW w:w="851" w:type="dxa"/>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4.4%</w:t>
            </w:r>
          </w:p>
        </w:tc>
        <w:tc>
          <w:tcPr>
            <w:tcW w:w="850" w:type="dxa"/>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p>
        </w:tc>
        <w:tc>
          <w:tcPr>
            <w:tcW w:w="42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18</w:t>
            </w:r>
          </w:p>
        </w:tc>
        <w:tc>
          <w:tcPr>
            <w:tcW w:w="3213" w:type="dxa"/>
            <w:gridSpan w:val="2"/>
            <w:vAlign w:val="center"/>
          </w:tcPr>
          <w:p>
            <w:pPr>
              <w:kinsoku w:val="0"/>
              <w:overflowPunct w:val="0"/>
              <w:autoSpaceDE w:val="0"/>
              <w:autoSpaceDN w:val="0"/>
              <w:adjustRightInd w:val="0"/>
              <w:snapToGrid w:val="0"/>
              <w:spacing w:line="260" w:lineRule="exact"/>
              <w:rPr>
                <w:rFonts w:ascii="Times New Roman" w:hAnsi="Times New Roman"/>
                <w:szCs w:val="21"/>
              </w:rPr>
            </w:pPr>
            <w:r>
              <w:rPr>
                <w:rFonts w:hint="eastAsia" w:ascii="Times New Roman"/>
                <w:szCs w:val="21"/>
              </w:rPr>
              <w:t>健康产业产值</w:t>
            </w:r>
          </w:p>
        </w:tc>
        <w:tc>
          <w:tcPr>
            <w:tcW w:w="74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1000</w:t>
            </w:r>
          </w:p>
        </w:tc>
        <w:tc>
          <w:tcPr>
            <w:tcW w:w="850"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w:t>
            </w:r>
          </w:p>
        </w:tc>
        <w:tc>
          <w:tcPr>
            <w:tcW w:w="851"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850" w:type="dxa"/>
          </w:tcPr>
          <w:p>
            <w:pPr>
              <w:kinsoku w:val="0"/>
              <w:overflowPunct w:val="0"/>
              <w:autoSpaceDE w:val="0"/>
              <w:autoSpaceDN w:val="0"/>
              <w:adjustRightInd w:val="0"/>
              <w:snapToGrid w:val="0"/>
              <w:spacing w:line="26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p>
        </w:tc>
        <w:tc>
          <w:tcPr>
            <w:tcW w:w="42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19</w:t>
            </w:r>
          </w:p>
        </w:tc>
        <w:tc>
          <w:tcPr>
            <w:tcW w:w="3213" w:type="dxa"/>
            <w:gridSpan w:val="2"/>
            <w:vAlign w:val="center"/>
          </w:tcPr>
          <w:p>
            <w:pPr>
              <w:kinsoku w:val="0"/>
              <w:overflowPunct w:val="0"/>
              <w:autoSpaceDE w:val="0"/>
              <w:autoSpaceDN w:val="0"/>
              <w:adjustRightInd w:val="0"/>
              <w:snapToGrid w:val="0"/>
              <w:spacing w:line="260" w:lineRule="exact"/>
              <w:rPr>
                <w:rFonts w:ascii="Times New Roman" w:hAnsi="Times New Roman"/>
                <w:szCs w:val="21"/>
              </w:rPr>
            </w:pPr>
            <w:r>
              <w:rPr>
                <w:rFonts w:hint="eastAsia" w:ascii="Times New Roman"/>
                <w:szCs w:val="21"/>
              </w:rPr>
              <w:t>社会办医床位数占比</w:t>
            </w:r>
          </w:p>
        </w:tc>
        <w:tc>
          <w:tcPr>
            <w:tcW w:w="74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&gt;25</w:t>
            </w:r>
          </w:p>
        </w:tc>
        <w:tc>
          <w:tcPr>
            <w:tcW w:w="850"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851"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850" w:type="dxa"/>
          </w:tcPr>
          <w:p>
            <w:pPr>
              <w:kinsoku w:val="0"/>
              <w:overflowPunct w:val="0"/>
              <w:autoSpaceDE w:val="0"/>
              <w:autoSpaceDN w:val="0"/>
              <w:adjustRightInd w:val="0"/>
              <w:snapToGrid w:val="0"/>
              <w:spacing w:line="26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restart"/>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r>
              <w:rPr>
                <w:rFonts w:hint="eastAsia" w:ascii="Times New Roman"/>
                <w:b/>
                <w:szCs w:val="21"/>
              </w:rPr>
              <w:t>社会治理</w:t>
            </w:r>
          </w:p>
        </w:tc>
        <w:tc>
          <w:tcPr>
            <w:tcW w:w="42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20</w:t>
            </w:r>
          </w:p>
        </w:tc>
        <w:tc>
          <w:tcPr>
            <w:tcW w:w="3213" w:type="dxa"/>
            <w:gridSpan w:val="2"/>
            <w:vAlign w:val="center"/>
          </w:tcPr>
          <w:p>
            <w:pPr>
              <w:kinsoku w:val="0"/>
              <w:overflowPunct w:val="0"/>
              <w:autoSpaceDE w:val="0"/>
              <w:autoSpaceDN w:val="0"/>
              <w:adjustRightInd w:val="0"/>
              <w:snapToGrid w:val="0"/>
              <w:spacing w:line="260" w:lineRule="exact"/>
              <w:rPr>
                <w:rFonts w:ascii="Times New Roman" w:hAnsi="Times New Roman"/>
                <w:szCs w:val="21"/>
              </w:rPr>
            </w:pPr>
            <w:r>
              <w:rPr>
                <w:rFonts w:hint="eastAsia" w:ascii="Times New Roman"/>
                <w:szCs w:val="21"/>
              </w:rPr>
              <w:t>主要食品药品评价性检验合格率</w:t>
            </w:r>
          </w:p>
        </w:tc>
        <w:tc>
          <w:tcPr>
            <w:tcW w:w="74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pacing w:val="-8"/>
                <w:szCs w:val="21"/>
              </w:rPr>
              <w:t>&gt;</w:t>
            </w:r>
            <w:r>
              <w:rPr>
                <w:rFonts w:ascii="Times New Roman" w:hAnsi="Times New Roman"/>
                <w:szCs w:val="21"/>
              </w:rPr>
              <w:t>96%</w:t>
            </w:r>
          </w:p>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szCs w:val="21"/>
              </w:rPr>
              <w:t>食品</w:t>
            </w:r>
          </w:p>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&gt;98%</w:t>
            </w:r>
          </w:p>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szCs w:val="21"/>
              </w:rPr>
              <w:t>药品</w:t>
            </w:r>
          </w:p>
        </w:tc>
        <w:tc>
          <w:tcPr>
            <w:tcW w:w="850"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w:t>
            </w:r>
          </w:p>
        </w:tc>
        <w:tc>
          <w:tcPr>
            <w:tcW w:w="851"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pacing w:val="-8"/>
                <w:szCs w:val="21"/>
              </w:rPr>
              <w:t>97.9</w:t>
            </w:r>
            <w:r>
              <w:rPr>
                <w:rFonts w:ascii="Times New Roman" w:hAnsi="Times New Roman"/>
                <w:szCs w:val="21"/>
              </w:rPr>
              <w:t>%</w:t>
            </w:r>
          </w:p>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szCs w:val="21"/>
              </w:rPr>
              <w:t>食品</w:t>
            </w:r>
          </w:p>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100</w:t>
            </w:r>
            <w:r>
              <w:rPr>
                <w:rFonts w:ascii="Times New Roman" w:hAnsi="Times New Roman"/>
                <w:szCs w:val="21"/>
              </w:rPr>
              <w:t>%</w:t>
            </w:r>
          </w:p>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szCs w:val="21"/>
              </w:rPr>
              <w:t>药品</w:t>
            </w:r>
          </w:p>
        </w:tc>
        <w:tc>
          <w:tcPr>
            <w:tcW w:w="850" w:type="dxa"/>
          </w:tcPr>
          <w:p>
            <w:pPr>
              <w:kinsoku w:val="0"/>
              <w:overflowPunct w:val="0"/>
              <w:autoSpaceDE w:val="0"/>
              <w:autoSpaceDN w:val="0"/>
              <w:adjustRightInd w:val="0"/>
              <w:snapToGrid w:val="0"/>
              <w:spacing w:line="26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6"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42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21</w:t>
            </w:r>
          </w:p>
        </w:tc>
        <w:tc>
          <w:tcPr>
            <w:tcW w:w="3213" w:type="dxa"/>
            <w:gridSpan w:val="2"/>
            <w:vAlign w:val="center"/>
          </w:tcPr>
          <w:p>
            <w:pPr>
              <w:kinsoku w:val="0"/>
              <w:overflowPunct w:val="0"/>
              <w:autoSpaceDE w:val="0"/>
              <w:autoSpaceDN w:val="0"/>
              <w:adjustRightInd w:val="0"/>
              <w:snapToGrid w:val="0"/>
              <w:spacing w:line="260" w:lineRule="exact"/>
              <w:rPr>
                <w:rFonts w:ascii="Times New Roman" w:hAnsi="Times New Roman"/>
                <w:spacing w:val="-8"/>
                <w:szCs w:val="21"/>
              </w:rPr>
            </w:pPr>
            <w:r>
              <w:rPr>
                <w:rFonts w:hint="eastAsia" w:ascii="Times New Roman"/>
                <w:spacing w:val="-8"/>
                <w:szCs w:val="21"/>
              </w:rPr>
              <w:t>亿元生产总值生产安全事故死亡率</w:t>
            </w:r>
          </w:p>
        </w:tc>
        <w:tc>
          <w:tcPr>
            <w:tcW w:w="74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0.11</w:t>
            </w:r>
          </w:p>
        </w:tc>
        <w:tc>
          <w:tcPr>
            <w:tcW w:w="850"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w:t>
            </w:r>
          </w:p>
        </w:tc>
        <w:tc>
          <w:tcPr>
            <w:tcW w:w="851"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0.021</w:t>
            </w:r>
          </w:p>
        </w:tc>
        <w:tc>
          <w:tcPr>
            <w:tcW w:w="850" w:type="dxa"/>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w:t>
            </w:r>
          </w:p>
        </w:tc>
      </w:tr>
    </w:tbl>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“十三五”社会发展领域取得了明显成效，为全面开启现代化建设奠定了坚实基础。与此同时，我市社会发展还存在一些问题和不足，主要表现在：</w:t>
      </w:r>
      <w:r>
        <w:rPr>
          <w:rFonts w:hint="eastAsia" w:ascii="仿宋_GB2312" w:hAnsi="Times New Roman" w:eastAsia="仿宋_GB2312" w:cs="Times New Roman"/>
          <w:b/>
          <w:sz w:val="32"/>
          <w:szCs w:val="32"/>
        </w:rPr>
        <w:t>一是供给需求不匹配。</w:t>
      </w:r>
      <w:r>
        <w:rPr>
          <w:rFonts w:hint="eastAsia" w:ascii="仿宋_GB2312" w:hAnsi="Times New Roman" w:eastAsia="仿宋_GB2312" w:cs="Times New Roman"/>
          <w:sz w:val="32"/>
          <w:szCs w:val="32"/>
        </w:rPr>
        <w:t>社会发展滞后于经济发展，基本公共服务的数量和质量与社会公众的需求存在较大差距，公共服务供给与需求错位；</w:t>
      </w:r>
      <w:r>
        <w:rPr>
          <w:rFonts w:hint="eastAsia" w:ascii="仿宋_GB2312" w:hAnsi="Times New Roman" w:eastAsia="仿宋_GB2312" w:cs="Times New Roman"/>
          <w:b/>
          <w:sz w:val="32"/>
          <w:szCs w:val="32"/>
        </w:rPr>
        <w:t>二是资源配置不合理。</w:t>
      </w:r>
      <w:r>
        <w:rPr>
          <w:rFonts w:hint="eastAsia" w:ascii="仿宋_GB2312" w:hAnsi="Times New Roman" w:eastAsia="仿宋_GB2312" w:cs="Times New Roman"/>
          <w:sz w:val="32"/>
          <w:szCs w:val="32"/>
        </w:rPr>
        <w:t>社会公共服务资源在城乡、区域分布不均衡，城市公共服务设施超负荷运转与基层公共服务设施闲置浪费、低效利用的现象并存。</w:t>
      </w:r>
      <w:r>
        <w:rPr>
          <w:rFonts w:hint="eastAsia" w:ascii="仿宋_GB2312" w:hAnsi="Times New Roman" w:eastAsia="仿宋_GB2312" w:cs="Times New Roman"/>
          <w:b/>
          <w:sz w:val="32"/>
          <w:szCs w:val="32"/>
        </w:rPr>
        <w:t>三是体制机制不协调。</w:t>
      </w:r>
      <w:r>
        <w:rPr>
          <w:rFonts w:hint="eastAsia" w:ascii="仿宋_GB2312" w:hAnsi="Times New Roman" w:eastAsia="仿宋_GB2312" w:cs="Times New Roman"/>
          <w:sz w:val="32"/>
          <w:szCs w:val="32"/>
        </w:rPr>
        <w:t>社会服务体制机制不活，市场机制的作用有待增强，社会资本参与度不高，社会发展的活力尚未充分激发。</w:t>
      </w:r>
    </w:p>
    <w:p>
      <w:pPr>
        <w:ind w:firstLine="643" w:firstLineChars="200"/>
        <w:jc w:val="left"/>
        <w:outlineLvl w:val="1"/>
        <w:rPr>
          <w:rFonts w:ascii="仿宋_GB2312" w:eastAsia="仿宋_GB2312"/>
          <w:b/>
          <w:sz w:val="32"/>
          <w:szCs w:val="32"/>
        </w:rPr>
      </w:pPr>
      <w:bookmarkStart w:id="2" w:name="_Toc68980521"/>
      <w:bookmarkStart w:id="3" w:name="_Toc69259711"/>
      <w:r>
        <w:rPr>
          <w:rFonts w:hint="eastAsia" w:ascii="仿宋_GB2312" w:eastAsia="仿宋_GB2312"/>
          <w:b/>
          <w:sz w:val="32"/>
          <w:szCs w:val="32"/>
        </w:rPr>
        <w:t>（二）发展形势</w:t>
      </w:r>
      <w:bookmarkEnd w:id="2"/>
      <w:bookmarkEnd w:id="3"/>
    </w:p>
    <w:p>
      <w:pPr>
        <w:ind w:firstLine="643" w:firstLineChars="200"/>
        <w:rPr>
          <w:rFonts w:ascii="仿宋_GB2312" w:eastAsia="仿宋_GB2312"/>
          <w:sz w:val="32"/>
          <w:szCs w:val="32"/>
        </w:rPr>
      </w:pPr>
      <w:r>
        <w:rPr>
          <w:rFonts w:hint="eastAsia" w:ascii="仿宋_GB2312" w:eastAsia="仿宋_GB2312"/>
          <w:b/>
          <w:sz w:val="32"/>
          <w:szCs w:val="32"/>
        </w:rPr>
        <w:t>从国家层面看，</w:t>
      </w:r>
      <w:r>
        <w:rPr>
          <w:rFonts w:hint="eastAsia" w:ascii="仿宋_GB2312" w:eastAsia="仿宋_GB2312"/>
          <w:sz w:val="32"/>
          <w:szCs w:val="32"/>
        </w:rPr>
        <w:t>党十九届五中全会明</w:t>
      </w:r>
      <w:r>
        <w:rPr>
          <w:rFonts w:hint="eastAsia" w:ascii="仿宋_GB2312" w:hAnsi="Times New Roman" w:eastAsia="仿宋_GB2312" w:cs="Times New Roman"/>
          <w:sz w:val="32"/>
          <w:szCs w:val="32"/>
        </w:rPr>
        <w:t>确提出到二</w:t>
      </w:r>
      <w:r>
        <w:rPr>
          <w:rFonts w:hint="eastAsia" w:ascii="仿宋_GB2312" w:hAnsi="Times New Roman" w:cs="Times New Roman"/>
          <w:sz w:val="32"/>
          <w:szCs w:val="32"/>
        </w:rPr>
        <w:t>〇</w:t>
      </w:r>
      <w:r>
        <w:rPr>
          <w:rFonts w:hint="eastAsia" w:ascii="仿宋_GB2312" w:hAnsi="Times New Roman" w:eastAsia="仿宋_GB2312" w:cs="Times New Roman"/>
          <w:sz w:val="32"/>
          <w:szCs w:val="32"/>
        </w:rPr>
        <w:t>三五年基本实现社会主义现代化远景目标，</w:t>
      </w:r>
      <w:r>
        <w:rPr>
          <w:rFonts w:hint="eastAsia" w:ascii="仿宋_GB2312" w:eastAsia="仿宋_GB2312" w:cs="Times New Roman"/>
          <w:sz w:val="32"/>
          <w:szCs w:val="32"/>
        </w:rPr>
        <w:t>必须坚持</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以人民为中心</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的发展思想，不断促进人的全面发展</w:t>
      </w:r>
      <w:r>
        <w:rPr>
          <w:rFonts w:hint="eastAsia" w:ascii="仿宋_GB2312" w:eastAsia="仿宋_GB2312"/>
          <w:sz w:val="32"/>
          <w:szCs w:val="32"/>
        </w:rPr>
        <w:t>，推动全体人民实现共同富裕，</w:t>
      </w:r>
      <w:r>
        <w:rPr>
          <w:rFonts w:hint="eastAsia" w:ascii="仿宋_GB2312" w:eastAsia="仿宋_GB2312" w:cs="Times New Roman"/>
          <w:sz w:val="32"/>
          <w:szCs w:val="32"/>
        </w:rPr>
        <w:t>建设以人民为中心的现代化，不断满足人民对文化、精神、健康、生态等多方面的现代化需求，这必将加大对社会民生的关注和投入。同时，党中央已明确提出要构建以国内大循环为主体、国内国际双循环相互促进的新发展格局，在强化供给侧改革的同时，实施需求侧管理，加快培育完整内需体系，不断释放国内需求潜力和动能，这也必将拓展相关社会领域的发展空间。</w:t>
      </w:r>
      <w:r>
        <w:rPr>
          <w:rFonts w:hint="eastAsia" w:ascii="仿宋_GB2312" w:eastAsia="仿宋_GB2312"/>
          <w:sz w:val="32"/>
          <w:szCs w:val="32"/>
        </w:rPr>
        <w:t xml:space="preserve"> </w:t>
      </w:r>
    </w:p>
    <w:p>
      <w:pPr>
        <w:ind w:firstLine="643" w:firstLineChars="200"/>
        <w:rPr>
          <w:rFonts w:ascii="仿宋_GB2312" w:hAnsi="Times New Roman" w:eastAsia="仿宋_GB2312" w:cs="Times New Roman"/>
          <w:sz w:val="32"/>
          <w:szCs w:val="32"/>
        </w:rPr>
      </w:pPr>
      <w:r>
        <w:rPr>
          <w:rFonts w:hint="eastAsia" w:ascii="仿宋_GB2312" w:eastAsia="仿宋_GB2312"/>
          <w:b/>
          <w:sz w:val="32"/>
          <w:szCs w:val="32"/>
        </w:rPr>
        <w:t>从浙江省层面看，</w:t>
      </w:r>
      <w:r>
        <w:rPr>
          <w:rFonts w:hint="eastAsia" w:ascii="仿宋_GB2312" w:eastAsia="仿宋_GB2312" w:cs="Times New Roman"/>
          <w:sz w:val="32"/>
          <w:szCs w:val="32"/>
        </w:rPr>
        <w:t>省委省政府秉持</w:t>
      </w:r>
      <w:r>
        <w:rPr>
          <w:rFonts w:hint="eastAsia" w:ascii="仿宋_GB2312" w:hAnsi="Times New Roman" w:eastAsia="仿宋_GB2312" w:cs="Times New Roman"/>
          <w:sz w:val="32"/>
          <w:szCs w:val="32"/>
        </w:rPr>
        <w:t>“三地一窗口”</w:t>
      </w:r>
      <w:r>
        <w:rPr>
          <w:rFonts w:hint="eastAsia" w:ascii="仿宋_GB2312" w:eastAsia="仿宋_GB2312" w:cs="Times New Roman"/>
          <w:sz w:val="32"/>
          <w:szCs w:val="32"/>
        </w:rPr>
        <w:t>建设使命</w:t>
      </w:r>
      <w:r>
        <w:rPr>
          <w:rFonts w:hint="eastAsia" w:ascii="仿宋_GB2312" w:eastAsia="仿宋_GB2312"/>
          <w:sz w:val="32"/>
          <w:szCs w:val="32"/>
        </w:rPr>
        <w:t>，加快社会主义现代化先行省建设，高水平推进省域治理现代化，</w:t>
      </w:r>
      <w:r>
        <w:rPr>
          <w:rFonts w:hint="eastAsia" w:ascii="仿宋_GB2312" w:eastAsia="仿宋_GB2312" w:cs="Times New Roman"/>
          <w:sz w:val="32"/>
          <w:szCs w:val="32"/>
        </w:rPr>
        <w:t>坚定不移推进富民强省，探索构建新发展格局，推动共同富裕先行示范，在</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十四五</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期间要基本建成国内大循环的战略支点、国内国际双循环的战略枢纽，共建共治共享共同富裕先行先试取得实效，形成忠实践行</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八八战略</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、奋力打造</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重要窗口</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的系统性突破性标志性成果，争创社会主义现代化先行省，全面提升人民群众获得感、幸福感、安全感，这</w:t>
      </w:r>
      <w:r>
        <w:rPr>
          <w:rFonts w:hint="eastAsia" w:ascii="仿宋_GB2312" w:eastAsia="仿宋_GB2312"/>
          <w:sz w:val="32"/>
          <w:szCs w:val="32"/>
        </w:rPr>
        <w:t>为社会发展指明了新方向、带来了新机遇、提出了新要求。</w:t>
      </w:r>
    </w:p>
    <w:p>
      <w:pPr>
        <w:ind w:firstLine="643" w:firstLineChars="200"/>
        <w:rPr>
          <w:rFonts w:ascii="仿宋_GB2312" w:eastAsia="仿宋_GB2312"/>
          <w:b/>
          <w:sz w:val="32"/>
          <w:szCs w:val="32"/>
        </w:rPr>
      </w:pPr>
      <w:r>
        <w:rPr>
          <w:rFonts w:hint="eastAsia" w:ascii="仿宋_GB2312" w:eastAsia="仿宋_GB2312"/>
          <w:b/>
          <w:sz w:val="32"/>
          <w:szCs w:val="32"/>
        </w:rPr>
        <w:t>从台州自身看，</w:t>
      </w:r>
      <w:r>
        <w:rPr>
          <w:rFonts w:hint="eastAsia" w:ascii="仿宋_GB2312" w:eastAsia="仿宋_GB2312"/>
          <w:sz w:val="32"/>
          <w:szCs w:val="32"/>
        </w:rPr>
        <w:t>市</w:t>
      </w:r>
      <w:r>
        <w:rPr>
          <w:rFonts w:hint="eastAsia" w:ascii="仿宋_GB2312" w:eastAsia="仿宋_GB2312" w:cs="Times New Roman"/>
          <w:sz w:val="32"/>
          <w:szCs w:val="32"/>
        </w:rPr>
        <w:t>委市政府立足实际、着眼未来，提出了</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三立三进三突围</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的</w:t>
      </w:r>
      <w:r>
        <w:rPr>
          <w:rFonts w:hint="eastAsia" w:ascii="仿宋_GB2312" w:eastAsia="仿宋_GB2312"/>
          <w:sz w:val="32"/>
          <w:szCs w:val="32"/>
        </w:rPr>
        <w:t>新时代发展路径，</w:t>
      </w:r>
      <w:r>
        <w:rPr>
          <w:rFonts w:hint="eastAsia" w:ascii="仿宋_GB2312" w:eastAsia="仿宋_GB2312" w:cs="Times New Roman"/>
          <w:sz w:val="32"/>
          <w:szCs w:val="32"/>
        </w:rPr>
        <w:t>推动城市发展向</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二次城市化</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迈进、产业升级向</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两业并举</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迈进、社会治理向</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两智融合</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迈进，并相继出台了一系列相关配套政策，多重政策叠加为台州社会发展全面提速，实现跨越追赶提供了难得的机遇。此外，随着</w:t>
      </w:r>
      <w:r>
        <w:rPr>
          <w:rFonts w:hint="eastAsia" w:ascii="仿宋_GB2312" w:eastAsia="仿宋_GB2312"/>
          <w:sz w:val="32"/>
          <w:szCs w:val="32"/>
        </w:rPr>
        <w:t>长三角一体化战略深入实施，有利于促进社会民生领域便利共享，增加优质服务供给，这必将促进我市在一体化中加快补齐</w:t>
      </w:r>
      <w:r>
        <w:rPr>
          <w:rFonts w:hint="eastAsia" w:ascii="仿宋_GB2312" w:eastAsia="仿宋_GB2312" w:cs="Times New Roman"/>
          <w:sz w:val="32"/>
          <w:szCs w:val="32"/>
        </w:rPr>
        <w:t>社会民生领域短板，实现经济社会协调发展，高水平建设社会主义现代化先行市。</w:t>
      </w:r>
    </w:p>
    <w:p>
      <w:pPr>
        <w:ind w:firstLine="640" w:firstLineChars="200"/>
        <w:jc w:val="left"/>
        <w:outlineLvl w:val="0"/>
        <w:rPr>
          <w:rFonts w:hint="eastAsia" w:ascii="黑体" w:hAnsi="黑体" w:eastAsia="黑体" w:cs="黑体"/>
          <w:b w:val="0"/>
          <w:bCs/>
          <w:sz w:val="32"/>
          <w:szCs w:val="32"/>
        </w:rPr>
      </w:pPr>
      <w:bookmarkStart w:id="4" w:name="_Toc69259712"/>
      <w:r>
        <w:rPr>
          <w:rFonts w:hint="eastAsia" w:ascii="黑体" w:hAnsi="黑体" w:eastAsia="黑体" w:cs="黑体"/>
          <w:b w:val="0"/>
          <w:bCs/>
          <w:sz w:val="32"/>
          <w:szCs w:val="32"/>
        </w:rPr>
        <w:t>二、发展愿景</w:t>
      </w:r>
      <w:bookmarkEnd w:id="4"/>
    </w:p>
    <w:p>
      <w:pPr>
        <w:ind w:firstLine="643" w:firstLineChars="200"/>
        <w:jc w:val="left"/>
        <w:outlineLvl w:val="1"/>
        <w:rPr>
          <w:rFonts w:ascii="仿宋_GB2312" w:eastAsia="仿宋_GB2312"/>
          <w:b/>
          <w:sz w:val="32"/>
          <w:szCs w:val="32"/>
        </w:rPr>
      </w:pPr>
      <w:bookmarkStart w:id="5" w:name="_Toc69259713"/>
      <w:r>
        <w:rPr>
          <w:rFonts w:hint="eastAsia" w:ascii="仿宋_GB2312" w:eastAsia="仿宋_GB2312"/>
          <w:b/>
          <w:sz w:val="32"/>
          <w:szCs w:val="32"/>
        </w:rPr>
        <w:t>（一）指导思想</w:t>
      </w:r>
      <w:bookmarkEnd w:id="5"/>
    </w:p>
    <w:p>
      <w:pPr>
        <w:ind w:firstLine="640" w:firstLineChars="200"/>
        <w:rPr>
          <w:rFonts w:ascii="仿宋_GB2312" w:eastAsia="仿宋_GB2312"/>
          <w:b/>
          <w:sz w:val="32"/>
          <w:szCs w:val="32"/>
        </w:rPr>
      </w:pPr>
      <w:r>
        <w:rPr>
          <w:rFonts w:hint="eastAsia" w:ascii="仿宋_GB2312" w:hAnsi="Times New Roman" w:eastAsia="仿宋_GB2312" w:cs="Times New Roman"/>
          <w:sz w:val="32"/>
          <w:szCs w:val="32"/>
        </w:rPr>
        <w:t>高举习近平新时代中国特色社会主义思想旗帜，深入贯彻习总书记在教育文化卫生体育领域专家座谈会上的重要讲话精神，以浙江省“三地一窗口”建设为使命，紧紧</w:t>
      </w:r>
      <w:r>
        <w:rPr>
          <w:rFonts w:hint="eastAsia" w:ascii="仿宋_GB2312" w:eastAsia="仿宋_GB2312"/>
          <w:sz w:val="32"/>
          <w:szCs w:val="32"/>
        </w:rPr>
        <w:t>围绕建设新时代民营经济高质量发展强市为总目标，始终坚持</w:t>
      </w:r>
      <w:r>
        <w:rPr>
          <w:rFonts w:hint="eastAsia" w:ascii="仿宋_GB2312" w:hAnsi="Times New Roman" w:eastAsia="仿宋_GB2312" w:cs="Times New Roman"/>
          <w:sz w:val="32"/>
          <w:szCs w:val="32"/>
        </w:rPr>
        <w:t>以人民为中心的发展思想，把提升民众的获得感、幸福感、安全感作为工作出发点和落脚点，</w:t>
      </w:r>
      <w:r>
        <w:rPr>
          <w:rFonts w:hint="eastAsia" w:ascii="仿宋_GB2312" w:eastAsia="仿宋_GB2312"/>
          <w:sz w:val="32"/>
          <w:szCs w:val="32"/>
        </w:rPr>
        <w:t>推动社会事业跨越提质、社会保障扩面增效、社会治理整体智治、社会产业繁荣发展、社会改革纵深推进，促进社会领域全面提速提质发展，为全面开启现代化建设新征程提供有力支撑。</w:t>
      </w:r>
    </w:p>
    <w:p>
      <w:pPr>
        <w:ind w:firstLine="643" w:firstLineChars="200"/>
        <w:jc w:val="left"/>
        <w:outlineLvl w:val="1"/>
        <w:rPr>
          <w:rFonts w:ascii="仿宋_GB2312" w:eastAsia="仿宋_GB2312"/>
          <w:b/>
          <w:sz w:val="32"/>
          <w:szCs w:val="32"/>
        </w:rPr>
      </w:pPr>
      <w:bookmarkStart w:id="6" w:name="_Toc68980522"/>
      <w:bookmarkStart w:id="7" w:name="_Toc69259714"/>
      <w:r>
        <w:rPr>
          <w:rFonts w:hint="eastAsia" w:ascii="仿宋_GB2312" w:eastAsia="仿宋_GB2312"/>
          <w:b/>
          <w:sz w:val="32"/>
          <w:szCs w:val="32"/>
        </w:rPr>
        <w:t>（二）基本原则</w:t>
      </w:r>
      <w:bookmarkEnd w:id="6"/>
      <w:bookmarkEnd w:id="7"/>
    </w:p>
    <w:p>
      <w:pPr>
        <w:ind w:firstLine="643" w:firstLineChars="200"/>
        <w:rPr>
          <w:rFonts w:ascii="仿宋_GB2312" w:eastAsia="仿宋_GB2312"/>
          <w:sz w:val="32"/>
          <w:szCs w:val="32"/>
        </w:rPr>
      </w:pPr>
      <w:r>
        <w:rPr>
          <w:rFonts w:hint="eastAsia" w:ascii="仿宋_GB2312" w:eastAsia="仿宋_GB2312"/>
          <w:b/>
          <w:sz w:val="32"/>
          <w:szCs w:val="32"/>
        </w:rPr>
        <w:t>以民为本，共建共享。</w:t>
      </w:r>
      <w:r>
        <w:rPr>
          <w:rFonts w:hint="eastAsia" w:ascii="仿宋_GB2312" w:eastAsia="仿宋_GB2312"/>
          <w:sz w:val="32"/>
          <w:szCs w:val="32"/>
        </w:rPr>
        <w:t>坚持以人民为中心的发展思想，在发展过程中始终践行全心全意为人民服务的根本宗旨，推动发展成果由人民共享，切实提高保障和改善民生的水平，努力促进人的全面现代化。</w:t>
      </w:r>
    </w:p>
    <w:p>
      <w:pPr>
        <w:ind w:firstLine="643" w:firstLineChars="200"/>
        <w:rPr>
          <w:rFonts w:ascii="仿宋_GB2312" w:eastAsia="仿宋_GB2312"/>
          <w:sz w:val="32"/>
          <w:szCs w:val="32"/>
        </w:rPr>
      </w:pPr>
      <w:r>
        <w:rPr>
          <w:rFonts w:hint="eastAsia" w:ascii="仿宋_GB2312" w:eastAsia="仿宋_GB2312"/>
          <w:b/>
          <w:sz w:val="32"/>
          <w:szCs w:val="32"/>
        </w:rPr>
        <w:t>政府主导，多方参与。</w:t>
      </w:r>
      <w:r>
        <w:rPr>
          <w:rFonts w:hint="eastAsia" w:ascii="仿宋_GB2312" w:eastAsia="仿宋_GB2312"/>
          <w:sz w:val="32"/>
          <w:szCs w:val="32"/>
        </w:rPr>
        <w:t>把保障和改善民生作为政府执政的出发点和落脚点，强化政府社会管理和公共服务职能。发挥市场机制作用，鼓励社会资本、社会组织参与社会事业（公共服务），满足多层次、个性化需求。</w:t>
      </w:r>
    </w:p>
    <w:p>
      <w:pPr>
        <w:ind w:firstLine="643" w:firstLineChars="200"/>
        <w:rPr>
          <w:rFonts w:ascii="仿宋_GB2312" w:eastAsia="仿宋_GB2312"/>
          <w:sz w:val="32"/>
          <w:szCs w:val="32"/>
        </w:rPr>
      </w:pPr>
      <w:r>
        <w:rPr>
          <w:rFonts w:hint="eastAsia" w:ascii="仿宋_GB2312" w:eastAsia="仿宋_GB2312"/>
          <w:b/>
          <w:sz w:val="32"/>
          <w:szCs w:val="32"/>
        </w:rPr>
        <w:t>开放合作，一体发展。</w:t>
      </w:r>
      <w:r>
        <w:rPr>
          <w:rFonts w:hint="eastAsia" w:ascii="仿宋_GB2312" w:eastAsia="仿宋_GB2312"/>
          <w:sz w:val="32"/>
          <w:szCs w:val="32"/>
        </w:rPr>
        <w:t>深入对接长三角一体化发展战略，深化社会领域的全方位立体化合作，积极拓展资源配置空间和范围，推动社会民生的互享融通，在开放共享中实现更高水平的公共服务供给。</w:t>
      </w:r>
    </w:p>
    <w:p>
      <w:pPr>
        <w:ind w:firstLine="643" w:firstLineChars="200"/>
        <w:rPr>
          <w:rFonts w:ascii="仿宋_GB2312" w:eastAsia="仿宋_GB2312"/>
          <w:sz w:val="32"/>
          <w:szCs w:val="32"/>
        </w:rPr>
      </w:pPr>
      <w:r>
        <w:rPr>
          <w:rFonts w:hint="eastAsia" w:ascii="仿宋_GB2312" w:eastAsia="仿宋_GB2312"/>
          <w:b/>
          <w:sz w:val="32"/>
          <w:szCs w:val="32"/>
        </w:rPr>
        <w:t>改革驱动，数智支撑。</w:t>
      </w:r>
      <w:r>
        <w:rPr>
          <w:rFonts w:hint="eastAsia" w:ascii="仿宋_GB2312" w:eastAsia="仿宋_GB2312"/>
          <w:sz w:val="32"/>
          <w:szCs w:val="32"/>
        </w:rPr>
        <w:t>加大社会发展管理体制和运行机制改革力度，推进重点社会领域体制机制创新，不断激发发展活力。紧紧把握数字化发展新趋势，加快社会服务资源网络化数字化，全面提高社会服务质量、优化社会服务环境。</w:t>
      </w:r>
    </w:p>
    <w:p>
      <w:pPr>
        <w:ind w:firstLine="643" w:firstLineChars="200"/>
        <w:jc w:val="left"/>
        <w:outlineLvl w:val="1"/>
        <w:rPr>
          <w:rFonts w:ascii="仿宋_GB2312" w:eastAsia="仿宋_GB2312"/>
          <w:b/>
          <w:sz w:val="32"/>
          <w:szCs w:val="32"/>
        </w:rPr>
      </w:pPr>
      <w:bookmarkStart w:id="8" w:name="_Toc69259715"/>
      <w:bookmarkStart w:id="9" w:name="_Toc68980523"/>
      <w:r>
        <w:rPr>
          <w:rFonts w:hint="eastAsia" w:ascii="仿宋_GB2312" w:eastAsia="仿宋_GB2312"/>
          <w:b/>
          <w:sz w:val="32"/>
          <w:szCs w:val="32"/>
        </w:rPr>
        <w:t>（三）发展目标</w:t>
      </w:r>
      <w:bookmarkEnd w:id="8"/>
      <w:bookmarkEnd w:id="9"/>
    </w:p>
    <w:p>
      <w:pPr>
        <w:widowControl/>
        <w:shd w:val="clear" w:color="auto" w:fill="FFFFFF"/>
        <w:spacing w:line="360" w:lineRule="atLeast"/>
        <w:ind w:firstLine="640" w:firstLineChars="200"/>
        <w:rPr>
          <w:rFonts w:ascii="仿宋_GB2312" w:eastAsia="仿宋_GB2312" w:cs="Times New Roman" w:hAnsiTheme="minorEastAsia"/>
          <w:bCs/>
          <w:sz w:val="32"/>
          <w:szCs w:val="32"/>
        </w:rPr>
      </w:pPr>
      <w:r>
        <w:rPr>
          <w:rFonts w:hint="eastAsia" w:ascii="仿宋_GB2312" w:eastAsia="仿宋_GB2312" w:cs="Times New Roman" w:hAnsiTheme="minorEastAsia"/>
          <w:bCs/>
          <w:sz w:val="32"/>
          <w:szCs w:val="32"/>
        </w:rPr>
        <w:t>未来五年，社会发展质量全面升级，力争在经济社会协调发展上取得新突破，社会发展水平在全省实现争先进位，初步建成民生幸福城市。</w:t>
      </w:r>
    </w:p>
    <w:p>
      <w:pPr>
        <w:widowControl/>
        <w:ind w:firstLine="643" w:firstLineChars="200"/>
        <w:jc w:val="left"/>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就业增收更加有效。</w:t>
      </w:r>
      <w:r>
        <w:rPr>
          <w:rFonts w:hint="eastAsia" w:ascii="仿宋_GB2312" w:hAnsi="宋体" w:eastAsia="仿宋_GB2312" w:cs="宋体"/>
          <w:color w:val="000000"/>
          <w:kern w:val="0"/>
          <w:sz w:val="32"/>
          <w:szCs w:val="32"/>
        </w:rPr>
        <w:t>居民人均收入增长与经济增长基本同步，城乡居民收入差距持续缩小，</w:t>
      </w:r>
      <w:r>
        <w:rPr>
          <w:rFonts w:hint="eastAsia" w:ascii="仿宋_GB2312" w:eastAsia="仿宋_GB2312" w:cs="Times New Roman" w:hAnsiTheme="minorEastAsia"/>
          <w:bCs/>
          <w:sz w:val="32"/>
          <w:szCs w:val="32"/>
        </w:rPr>
        <w:t>中等收入群体日益壮大。就业更加充分高质，劳动关系更加和谐，</w:t>
      </w:r>
      <w:r>
        <w:rPr>
          <w:rFonts w:hint="eastAsia" w:ascii="仿宋_GB2312" w:hAnsi="宋体" w:eastAsia="仿宋_GB2312" w:cs="宋体"/>
          <w:color w:val="000000"/>
          <w:kern w:val="0"/>
          <w:sz w:val="32"/>
          <w:szCs w:val="32"/>
        </w:rPr>
        <w:t>五年新增城镇就业</w:t>
      </w:r>
      <w:r>
        <w:rPr>
          <w:rFonts w:ascii="Times New Roman" w:hAnsi="Times New Roman" w:eastAsia="宋体" w:cs="Times New Roman"/>
          <w:color w:val="000000"/>
          <w:kern w:val="0"/>
          <w:sz w:val="32"/>
          <w:szCs w:val="32"/>
        </w:rPr>
        <w:t>40</w:t>
      </w:r>
      <w:r>
        <w:rPr>
          <w:rFonts w:hint="eastAsia" w:ascii="仿宋_GB2312" w:hAnsi="宋体" w:eastAsia="仿宋_GB2312" w:cs="宋体"/>
          <w:color w:val="000000"/>
          <w:kern w:val="0"/>
          <w:sz w:val="32"/>
          <w:szCs w:val="32"/>
        </w:rPr>
        <w:t>万人，城镇调查失业率控制在</w:t>
      </w:r>
      <w:r>
        <w:rPr>
          <w:rFonts w:hint="eastAsia"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左右，常住人口城镇化率达到</w:t>
      </w:r>
      <w:r>
        <w:rPr>
          <w:rFonts w:hint="eastAsia" w:ascii="Times New Roman" w:hAnsi="Times New Roman" w:eastAsia="宋体" w:cs="Times New Roman"/>
          <w:color w:val="000000"/>
          <w:kern w:val="0"/>
          <w:sz w:val="32"/>
          <w:szCs w:val="32"/>
        </w:rPr>
        <w:t>69</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左右。</w:t>
      </w:r>
      <w:r>
        <w:rPr>
          <w:rFonts w:hint="eastAsia" w:ascii="仿宋_GB2312" w:eastAsia="仿宋_GB2312" w:cs="Times New Roman" w:hAnsiTheme="minorEastAsia"/>
          <w:bCs/>
          <w:sz w:val="32"/>
          <w:szCs w:val="32"/>
        </w:rPr>
        <w:t>居民收入水平不断提高，</w:t>
      </w:r>
      <w:r>
        <w:rPr>
          <w:rFonts w:ascii="仿宋_GB2312" w:hAnsi="宋体" w:eastAsia="仿宋_GB2312" w:cs="宋体"/>
          <w:b/>
          <w:bCs/>
          <w:color w:val="000000"/>
          <w:kern w:val="0"/>
          <w:sz w:val="32"/>
          <w:szCs w:val="32"/>
        </w:rPr>
        <w:t xml:space="preserve"> </w:t>
      </w:r>
    </w:p>
    <w:p>
      <w:pPr>
        <w:ind w:firstLine="643" w:firstLineChars="200"/>
        <w:rPr>
          <w:rFonts w:ascii="仿宋_GB2312" w:hAnsi="宋体" w:eastAsia="仿宋_GB2312" w:cs="宋体"/>
          <w:color w:val="000000"/>
          <w:kern w:val="0"/>
          <w:sz w:val="32"/>
          <w:szCs w:val="32"/>
        </w:rPr>
      </w:pPr>
      <w:r>
        <w:rPr>
          <w:rFonts w:hint="eastAsia" w:ascii="仿宋_GB2312" w:eastAsia="仿宋_GB2312"/>
          <w:b/>
          <w:sz w:val="32"/>
          <w:szCs w:val="32"/>
        </w:rPr>
        <w:t>社会事业更加优质。</w:t>
      </w:r>
      <w:r>
        <w:rPr>
          <w:rFonts w:hint="eastAsia" w:ascii="仿宋_GB2312" w:eastAsia="仿宋_GB2312" w:cs="Times New Roman" w:hAnsiTheme="minorEastAsia"/>
          <w:bCs/>
          <w:sz w:val="32"/>
          <w:szCs w:val="32"/>
        </w:rPr>
        <w:t>教育、卫生、文化、体育等社会事业更趋优质均衡，基本建立起与我市经济发展相适应的社会事业服务体系。到2025年，</w:t>
      </w:r>
      <w:r>
        <w:rPr>
          <w:rFonts w:hint="eastAsia" w:ascii="仿宋_GB2312" w:hAnsi="宋体" w:eastAsia="仿宋_GB2312" w:cs="宋体"/>
          <w:color w:val="000000"/>
          <w:kern w:val="0"/>
          <w:sz w:val="32"/>
          <w:szCs w:val="32"/>
        </w:rPr>
        <w:t>人均预期寿命超过</w:t>
      </w:r>
      <w:r>
        <w:rPr>
          <w:rFonts w:ascii="Times New Roman" w:hAnsi="Times New Roman" w:eastAsia="宋体" w:cs="Times New Roman"/>
          <w:color w:val="000000"/>
          <w:kern w:val="0"/>
          <w:sz w:val="32"/>
          <w:szCs w:val="32"/>
        </w:rPr>
        <w:t>8</w:t>
      </w:r>
      <w:r>
        <w:rPr>
          <w:rFonts w:hint="eastAsia" w:ascii="Times New Roman" w:hAnsi="Times New Roman" w:eastAsia="宋体" w:cs="Times New Roman"/>
          <w:color w:val="000000"/>
          <w:kern w:val="0"/>
          <w:sz w:val="32"/>
          <w:szCs w:val="32"/>
        </w:rPr>
        <w:t>2</w:t>
      </w:r>
      <w:r>
        <w:rPr>
          <w:rFonts w:hint="eastAsia" w:ascii="仿宋_GB2312" w:hAnsi="宋体" w:eastAsia="仿宋_GB2312" w:cs="宋体"/>
          <w:color w:val="000000"/>
          <w:kern w:val="0"/>
          <w:sz w:val="32"/>
          <w:szCs w:val="32"/>
        </w:rPr>
        <w:t>岁，每千人口拥有</w:t>
      </w: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岁以下婴幼儿托位数达到4.5</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，每千人医疗机构床位数达到6.6张，高等教育毛入学率达到**</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w:t>
      </w:r>
    </w:p>
    <w:p>
      <w:pPr>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社会保障更加健全。</w:t>
      </w:r>
      <w:r>
        <w:rPr>
          <w:rFonts w:hint="eastAsia" w:ascii="仿宋_GB2312" w:hAnsi="宋体" w:eastAsia="仿宋_GB2312" w:cs="宋体"/>
          <w:color w:val="000000"/>
          <w:kern w:val="0"/>
          <w:sz w:val="32"/>
          <w:szCs w:val="32"/>
        </w:rPr>
        <w:t>住房保障、养老保障及社会福利等保障能力进一步增强，人民生活幸福感普遍提升。到2025年，城镇住房保障受益覆盖面达到**%、每千名老人拥有机构养老床位数达到**张，基本养老保险参保人数达到**万人。</w:t>
      </w:r>
    </w:p>
    <w:p>
      <w:pPr>
        <w:widowControl/>
        <w:ind w:firstLine="643" w:firstLineChars="200"/>
        <w:jc w:val="left"/>
        <w:rPr>
          <w:rFonts w:ascii="宋体" w:hAnsi="宋体" w:eastAsia="宋体" w:cs="宋体"/>
          <w:kern w:val="0"/>
          <w:sz w:val="24"/>
          <w:szCs w:val="24"/>
        </w:rPr>
      </w:pPr>
      <w:r>
        <w:rPr>
          <w:rFonts w:hint="eastAsia" w:ascii="仿宋_GB2312" w:eastAsia="仿宋_GB2312"/>
          <w:b/>
          <w:sz w:val="32"/>
          <w:szCs w:val="32"/>
        </w:rPr>
        <w:t>社会产业更加繁荣。</w:t>
      </w:r>
      <w:r>
        <w:rPr>
          <w:rFonts w:hint="eastAsia" w:ascii="仿宋_GB2312" w:eastAsia="仿宋_GB2312" w:cs="Times New Roman" w:hAnsiTheme="minorEastAsia"/>
          <w:bCs/>
          <w:sz w:val="32"/>
          <w:szCs w:val="32"/>
        </w:rPr>
        <w:t>社会服务产业发展规模明显壮大，发展质量明显提升，新业态新模式不断涌现。到2025年，</w:t>
      </w:r>
      <w:r>
        <w:rPr>
          <w:rFonts w:hint="eastAsia" w:ascii="仿宋_GB2312" w:hAnsi="宋体" w:eastAsia="仿宋_GB2312" w:cs="宋体"/>
          <w:color w:val="000000"/>
          <w:kern w:val="0"/>
          <w:sz w:val="32"/>
          <w:szCs w:val="32"/>
        </w:rPr>
        <w:t>健康产业增加值占</w:t>
      </w:r>
      <w:r>
        <w:rPr>
          <w:rFonts w:ascii="Times New Roman" w:hAnsi="Times New Roman" w:eastAsia="宋体" w:cs="Times New Roman"/>
          <w:color w:val="000000"/>
          <w:kern w:val="0"/>
          <w:sz w:val="32"/>
          <w:szCs w:val="32"/>
        </w:rPr>
        <w:t>GDP</w:t>
      </w:r>
      <w:r>
        <w:rPr>
          <w:rFonts w:hint="eastAsia" w:ascii="仿宋_GB2312" w:hAnsi="宋体" w:eastAsia="仿宋_GB2312" w:cs="宋体"/>
          <w:color w:val="000000"/>
          <w:kern w:val="0"/>
          <w:sz w:val="32"/>
          <w:szCs w:val="32"/>
        </w:rPr>
        <w:t>比重达到</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，旅游产业增加值占</w:t>
      </w:r>
      <w:r>
        <w:rPr>
          <w:rFonts w:ascii="Times New Roman" w:hAnsi="Times New Roman" w:eastAsia="宋体" w:cs="Times New Roman"/>
          <w:color w:val="000000"/>
          <w:kern w:val="0"/>
          <w:sz w:val="32"/>
          <w:szCs w:val="32"/>
        </w:rPr>
        <w:t xml:space="preserve">GDP </w:t>
      </w:r>
      <w:r>
        <w:rPr>
          <w:rFonts w:hint="eastAsia" w:ascii="仿宋_GB2312" w:hAnsi="宋体" w:eastAsia="仿宋_GB2312" w:cs="宋体"/>
          <w:color w:val="000000"/>
          <w:kern w:val="0"/>
          <w:sz w:val="32"/>
          <w:szCs w:val="32"/>
        </w:rPr>
        <w:t>比重达到</w:t>
      </w:r>
      <w:r>
        <w:rPr>
          <w:rFonts w:hint="eastAsia" w:ascii="Times New Roman" w:hAnsi="Times New Roman" w:eastAsia="宋体" w:cs="Times New Roman"/>
          <w:color w:val="000000"/>
          <w:kern w:val="0"/>
          <w:sz w:val="32"/>
          <w:szCs w:val="32"/>
        </w:rPr>
        <w:t>**</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，文化及相关产业增加值占</w:t>
      </w:r>
      <w:r>
        <w:rPr>
          <w:rFonts w:ascii="Times New Roman" w:hAnsi="Times New Roman" w:eastAsia="宋体" w:cs="Times New Roman"/>
          <w:color w:val="000000"/>
          <w:kern w:val="0"/>
          <w:sz w:val="32"/>
          <w:szCs w:val="32"/>
        </w:rPr>
        <w:t>GDP</w:t>
      </w:r>
      <w:r>
        <w:rPr>
          <w:rFonts w:hint="eastAsia" w:ascii="仿宋_GB2312" w:hAnsi="宋体" w:eastAsia="仿宋_GB2312" w:cs="宋体"/>
          <w:color w:val="000000"/>
          <w:kern w:val="0"/>
          <w:sz w:val="32"/>
          <w:szCs w:val="32"/>
        </w:rPr>
        <w:t>比重达到</w:t>
      </w:r>
      <w:r>
        <w:rPr>
          <w:rFonts w:hint="eastAsia" w:ascii="Times New Roman" w:hAnsi="Times New Roman" w:eastAsia="宋体" w:cs="Times New Roman"/>
          <w:color w:val="000000"/>
          <w:kern w:val="0"/>
          <w:sz w:val="32"/>
          <w:szCs w:val="32"/>
        </w:rPr>
        <w:t>**</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，体育产业增加值占</w:t>
      </w:r>
      <w:r>
        <w:rPr>
          <w:rFonts w:ascii="Times New Roman" w:hAnsi="Times New Roman" w:eastAsia="宋体" w:cs="Times New Roman"/>
          <w:color w:val="000000"/>
          <w:kern w:val="0"/>
          <w:sz w:val="32"/>
          <w:szCs w:val="32"/>
        </w:rPr>
        <w:t>GDP</w:t>
      </w:r>
      <w:r>
        <w:rPr>
          <w:rFonts w:hint="eastAsia" w:ascii="仿宋_GB2312" w:hAnsi="宋体" w:eastAsia="仿宋_GB2312" w:cs="宋体"/>
          <w:color w:val="000000"/>
          <w:kern w:val="0"/>
          <w:sz w:val="32"/>
          <w:szCs w:val="32"/>
        </w:rPr>
        <w:t>比重达到</w:t>
      </w:r>
      <w:r>
        <w:rPr>
          <w:rFonts w:hint="eastAsia" w:ascii="Times New Roman" w:hAnsi="Times New Roman" w:eastAsia="宋体" w:cs="Times New Roman"/>
          <w:color w:val="000000"/>
          <w:kern w:val="0"/>
          <w:sz w:val="32"/>
          <w:szCs w:val="32"/>
        </w:rPr>
        <w:t>**</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w:t>
      </w:r>
    </w:p>
    <w:p>
      <w:pPr>
        <w:ind w:firstLine="643" w:firstLineChars="200"/>
        <w:rPr>
          <w:rFonts w:ascii="宋体" w:hAnsi="宋体" w:eastAsia="宋体" w:cs="宋体"/>
          <w:kern w:val="0"/>
          <w:sz w:val="24"/>
          <w:szCs w:val="24"/>
        </w:rPr>
      </w:pPr>
      <w:r>
        <w:rPr>
          <w:rFonts w:hint="eastAsia" w:ascii="仿宋_GB2312" w:eastAsia="仿宋_GB2312"/>
          <w:b/>
          <w:sz w:val="32"/>
          <w:szCs w:val="32"/>
        </w:rPr>
        <w:t>社会治理更加智慧。</w:t>
      </w:r>
      <w:r>
        <w:rPr>
          <w:rFonts w:hint="eastAsia" w:ascii="仿宋_GB2312" w:eastAsia="仿宋_GB2312" w:cs="Times New Roman" w:hAnsiTheme="minorEastAsia"/>
          <w:bCs/>
          <w:sz w:val="32"/>
          <w:szCs w:val="32"/>
        </w:rPr>
        <w:t>社会治理规范化、科学化、智慧化、法治化、精细化水平进一步提高，城市公共安全保障体系和基层治理体系更加完善，全国市域社会治理现代化城市建设取得明显突破。到2025年，</w:t>
      </w:r>
      <w:r>
        <w:rPr>
          <w:rFonts w:hint="eastAsia" w:ascii="仿宋_GB2312" w:hAnsi="宋体" w:eastAsia="仿宋_GB2312" w:cs="宋体"/>
          <w:color w:val="000000"/>
          <w:kern w:val="0"/>
          <w:sz w:val="32"/>
          <w:szCs w:val="32"/>
        </w:rPr>
        <w:t>依申请政务服务办件</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一网通办</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 xml:space="preserve">率达到 </w:t>
      </w:r>
      <w:r>
        <w:rPr>
          <w:rFonts w:ascii="Times New Roman" w:hAnsi="Times New Roman" w:eastAsia="宋体" w:cs="Times New Roman"/>
          <w:color w:val="000000"/>
          <w:kern w:val="0"/>
          <w:sz w:val="32"/>
          <w:szCs w:val="32"/>
        </w:rPr>
        <w:t>90%</w:t>
      </w:r>
      <w:r>
        <w:rPr>
          <w:rFonts w:hint="eastAsia" w:ascii="仿宋_GB2312" w:hAnsi="宋体" w:eastAsia="仿宋_GB2312" w:cs="宋体"/>
          <w:color w:val="000000"/>
          <w:kern w:val="0"/>
          <w:sz w:val="32"/>
          <w:szCs w:val="32"/>
        </w:rPr>
        <w:t xml:space="preserve">以上，综合行政执法事项占比达到 </w:t>
      </w:r>
      <w:r>
        <w:rPr>
          <w:rFonts w:ascii="Times New Roman" w:hAnsi="Times New Roman" w:eastAsia="宋体" w:cs="Times New Roman"/>
          <w:color w:val="000000"/>
          <w:kern w:val="0"/>
          <w:sz w:val="32"/>
          <w:szCs w:val="32"/>
        </w:rPr>
        <w:t>20%</w:t>
      </w:r>
      <w:r>
        <w:rPr>
          <w:rFonts w:hint="eastAsia" w:ascii="仿宋_GB2312" w:hAnsi="宋体" w:eastAsia="仿宋_GB2312" w:cs="宋体"/>
          <w:color w:val="000000"/>
          <w:kern w:val="0"/>
          <w:sz w:val="32"/>
          <w:szCs w:val="32"/>
        </w:rPr>
        <w:t>以上</w:t>
      </w:r>
    </w:p>
    <w:p>
      <w:pPr>
        <w:ind w:firstLine="643" w:firstLineChars="200"/>
        <w:rPr>
          <w:rFonts w:ascii="仿宋_GB2312" w:eastAsia="仿宋_GB2312"/>
          <w:b/>
          <w:sz w:val="32"/>
          <w:szCs w:val="32"/>
        </w:rPr>
      </w:pPr>
      <w:r>
        <w:rPr>
          <w:rFonts w:hint="eastAsia" w:ascii="仿宋_GB2312" w:eastAsia="仿宋_GB2312"/>
          <w:b/>
          <w:sz w:val="32"/>
          <w:szCs w:val="32"/>
        </w:rPr>
        <w:t>社会活力更加充沛。</w:t>
      </w:r>
      <w:r>
        <w:rPr>
          <w:rFonts w:hint="eastAsia" w:ascii="仿宋_GB2312" w:eastAsia="仿宋_GB2312" w:cs="Times New Roman" w:hAnsiTheme="minorEastAsia"/>
          <w:bCs/>
          <w:sz w:val="32"/>
          <w:szCs w:val="32"/>
        </w:rPr>
        <w:t>社会领域改革取得重大突破，</w:t>
      </w:r>
      <w:r>
        <w:rPr>
          <w:rFonts w:hint="eastAsia" w:ascii="仿宋_GB2312" w:hAnsi="宋体" w:eastAsia="仿宋_GB2312" w:cs="Times New Roman"/>
          <w:bCs/>
          <w:sz w:val="32"/>
          <w:szCs w:val="32"/>
        </w:rPr>
        <w:t>在教育、医疗、养老、</w:t>
      </w:r>
      <w:r>
        <w:rPr>
          <w:rFonts w:hint="eastAsia" w:ascii="仿宋_GB2312" w:eastAsia="仿宋_GB2312" w:cs="Times New Roman" w:hAnsiTheme="minorEastAsia"/>
          <w:bCs/>
          <w:sz w:val="32"/>
          <w:szCs w:val="32"/>
        </w:rPr>
        <w:t>文化等</w:t>
      </w:r>
      <w:r>
        <w:rPr>
          <w:rFonts w:hint="eastAsia" w:ascii="仿宋_GB2312" w:hAnsi="宋体" w:eastAsia="仿宋_GB2312" w:cs="Times New Roman"/>
          <w:bCs/>
          <w:sz w:val="32"/>
          <w:szCs w:val="32"/>
        </w:rPr>
        <w:t>领域谋划推出一批含金量高、政策性强、兼顾均衡的改革举措，</w:t>
      </w:r>
      <w:r>
        <w:rPr>
          <w:rFonts w:hint="eastAsia" w:ascii="仿宋_GB2312" w:eastAsia="仿宋_GB2312" w:cs="Times New Roman" w:hAnsiTheme="minorEastAsia"/>
          <w:bCs/>
          <w:sz w:val="32"/>
          <w:szCs w:val="32"/>
        </w:rPr>
        <w:t>争创一批有影响力和带动力的国家级、省级改革试点，打造</w:t>
      </w:r>
      <w:r>
        <w:rPr>
          <w:rFonts w:hint="eastAsia" w:ascii="仿宋_GB2312" w:hAnsi="宋体" w:eastAsia="仿宋_GB2312" w:cs="Times New Roman"/>
          <w:bCs/>
          <w:sz w:val="32"/>
          <w:szCs w:val="32"/>
        </w:rPr>
        <w:t>有首位度、辨识度的硬核成果</w:t>
      </w:r>
      <w:r>
        <w:rPr>
          <w:rFonts w:hint="eastAsia" w:ascii="仿宋_GB2312" w:eastAsia="仿宋_GB2312" w:cs="Times New Roman" w:hAnsiTheme="minorEastAsia"/>
          <w:bCs/>
          <w:sz w:val="32"/>
          <w:szCs w:val="32"/>
        </w:rPr>
        <w:t>和台州样板。</w:t>
      </w:r>
    </w:p>
    <w:p>
      <w:pPr>
        <w:jc w:val="center"/>
        <w:rPr>
          <w:rFonts w:ascii="Times New Roman" w:hAnsi="Times New Roman" w:eastAsia="仿宋_GB2312"/>
          <w:b/>
          <w:sz w:val="32"/>
          <w:szCs w:val="32"/>
        </w:rPr>
      </w:pPr>
      <w:r>
        <w:rPr>
          <w:rFonts w:hint="eastAsia" w:ascii="Times New Roman" w:hAnsi="Times New Roman" w:eastAsia="仿宋_GB2312"/>
          <w:b/>
          <w:sz w:val="32"/>
          <w:szCs w:val="32"/>
        </w:rPr>
        <w:t>表</w:t>
      </w:r>
      <w:r>
        <w:rPr>
          <w:rFonts w:ascii="Times New Roman" w:hAnsi="Times New Roman" w:eastAsia="仿宋_GB2312"/>
          <w:b/>
          <w:sz w:val="32"/>
          <w:szCs w:val="32"/>
        </w:rPr>
        <w:t xml:space="preserve">1  </w:t>
      </w:r>
      <w:r>
        <w:rPr>
          <w:rFonts w:hint="eastAsia" w:ascii="Times New Roman" w:hAnsi="Times New Roman" w:eastAsia="仿宋_GB2312"/>
          <w:b/>
          <w:sz w:val="32"/>
          <w:szCs w:val="32"/>
        </w:rPr>
        <w:t>台州市</w:t>
      </w:r>
      <w:r>
        <w:rPr>
          <w:rFonts w:ascii="Times New Roman" w:hAnsi="Times New Roman" w:eastAsia="仿宋_GB2312"/>
          <w:b/>
          <w:sz w:val="32"/>
          <w:szCs w:val="32"/>
        </w:rPr>
        <w:t>“</w:t>
      </w:r>
      <w:r>
        <w:rPr>
          <w:rFonts w:hint="eastAsia" w:ascii="Times New Roman" w:hAnsi="Times New Roman" w:eastAsia="仿宋_GB2312"/>
          <w:b/>
          <w:sz w:val="32"/>
          <w:szCs w:val="32"/>
        </w:rPr>
        <w:t>十四五</w:t>
      </w:r>
      <w:r>
        <w:rPr>
          <w:rFonts w:ascii="Times New Roman" w:hAnsi="Times New Roman" w:eastAsia="仿宋_GB2312"/>
          <w:b/>
          <w:sz w:val="32"/>
          <w:szCs w:val="32"/>
        </w:rPr>
        <w:t>”</w:t>
      </w:r>
      <w:r>
        <w:rPr>
          <w:rFonts w:hint="eastAsia" w:ascii="Times New Roman" w:hAnsi="Times New Roman" w:eastAsia="仿宋_GB2312"/>
          <w:b/>
          <w:sz w:val="32"/>
          <w:szCs w:val="32"/>
        </w:rPr>
        <w:t>社会发展主要目标</w:t>
      </w:r>
    </w:p>
    <w:tbl>
      <w:tblPr>
        <w:tblStyle w:val="16"/>
        <w:tblW w:w="769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10"/>
        <w:gridCol w:w="616"/>
        <w:gridCol w:w="3612"/>
        <w:gridCol w:w="655"/>
        <w:gridCol w:w="1106"/>
        <w:gridCol w:w="9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shd w:val="clear" w:color="auto" w:fill="B6DDE8" w:themeFill="accent5" w:themeFillTint="66"/>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r>
              <w:rPr>
                <w:rFonts w:hint="eastAsia" w:ascii="Times New Roman"/>
                <w:b/>
                <w:szCs w:val="21"/>
              </w:rPr>
              <w:t>分类</w:t>
            </w:r>
          </w:p>
        </w:tc>
        <w:tc>
          <w:tcPr>
            <w:tcW w:w="616" w:type="dxa"/>
            <w:shd w:val="clear" w:color="auto" w:fill="B6DDE8" w:themeFill="accent5" w:themeFillTint="66"/>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r>
              <w:rPr>
                <w:rFonts w:hint="eastAsia" w:ascii="Times New Roman"/>
                <w:b/>
                <w:szCs w:val="21"/>
              </w:rPr>
              <w:t>序号</w:t>
            </w:r>
          </w:p>
        </w:tc>
        <w:tc>
          <w:tcPr>
            <w:tcW w:w="3612" w:type="dxa"/>
            <w:shd w:val="clear" w:color="auto" w:fill="B6DDE8" w:themeFill="accent5" w:themeFillTint="66"/>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r>
              <w:rPr>
                <w:rFonts w:hint="eastAsia" w:ascii="Times New Roman"/>
                <w:b/>
                <w:szCs w:val="21"/>
              </w:rPr>
              <w:t>指标名称</w:t>
            </w:r>
          </w:p>
        </w:tc>
        <w:tc>
          <w:tcPr>
            <w:tcW w:w="655" w:type="dxa"/>
            <w:shd w:val="clear" w:color="auto" w:fill="B6DDE8" w:themeFill="accent5" w:themeFillTint="66"/>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r>
              <w:rPr>
                <w:rFonts w:hint="eastAsia" w:ascii="Times New Roman"/>
                <w:b/>
                <w:szCs w:val="21"/>
              </w:rPr>
              <w:t>单位</w:t>
            </w:r>
          </w:p>
        </w:tc>
        <w:tc>
          <w:tcPr>
            <w:tcW w:w="1106" w:type="dxa"/>
            <w:shd w:val="clear" w:color="auto" w:fill="B6DDE8" w:themeFill="accent5" w:themeFillTint="66"/>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r>
              <w:rPr>
                <w:rFonts w:ascii="Times New Roman" w:hAnsi="Times New Roman"/>
                <w:b/>
                <w:szCs w:val="21"/>
              </w:rPr>
              <w:t>20</w:t>
            </w:r>
            <w:r>
              <w:rPr>
                <w:rFonts w:hint="eastAsia" w:ascii="Times New Roman" w:hAnsi="Times New Roman"/>
                <w:b/>
                <w:szCs w:val="21"/>
              </w:rPr>
              <w:t>20</w:t>
            </w:r>
            <w:r>
              <w:rPr>
                <w:rFonts w:hint="eastAsia" w:ascii="Times New Roman"/>
                <w:b/>
                <w:szCs w:val="21"/>
              </w:rPr>
              <w:t>年</w:t>
            </w:r>
          </w:p>
        </w:tc>
        <w:tc>
          <w:tcPr>
            <w:tcW w:w="992" w:type="dxa"/>
            <w:shd w:val="clear" w:color="auto" w:fill="B6DDE8" w:themeFill="accent5" w:themeFillTint="66"/>
            <w:vAlign w:val="center"/>
          </w:tcPr>
          <w:p>
            <w:pPr>
              <w:kinsoku w:val="0"/>
              <w:overflowPunct w:val="0"/>
              <w:autoSpaceDE w:val="0"/>
              <w:autoSpaceDN w:val="0"/>
              <w:adjustRightInd w:val="0"/>
              <w:snapToGrid w:val="0"/>
              <w:spacing w:line="260" w:lineRule="exact"/>
              <w:jc w:val="center"/>
              <w:rPr>
                <w:rFonts w:ascii="Times New Roman" w:hAnsi="Times New Roman"/>
                <w:b/>
                <w:szCs w:val="21"/>
              </w:rPr>
            </w:pPr>
            <w:r>
              <w:rPr>
                <w:rFonts w:ascii="Times New Roman" w:hAnsi="Times New Roman"/>
                <w:b/>
                <w:szCs w:val="21"/>
              </w:rPr>
              <w:t>202</w:t>
            </w:r>
            <w:r>
              <w:rPr>
                <w:rFonts w:hint="eastAsia" w:ascii="Times New Roman" w:hAnsi="Times New Roman"/>
                <w:b/>
                <w:szCs w:val="21"/>
              </w:rPr>
              <w:t>5</w:t>
            </w:r>
            <w:r>
              <w:rPr>
                <w:rFonts w:hint="eastAsia" w:ascii="Times New Roman"/>
                <w:b/>
                <w:szCs w:val="21"/>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restart"/>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就业增收</w:t>
            </w:r>
          </w:p>
        </w:tc>
        <w:tc>
          <w:tcPr>
            <w:tcW w:w="616"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1</w:t>
            </w:r>
          </w:p>
        </w:tc>
        <w:tc>
          <w:tcPr>
            <w:tcW w:w="3612"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新增城镇就业人数</w:t>
            </w:r>
          </w:p>
        </w:tc>
        <w:tc>
          <w:tcPr>
            <w:tcW w:w="655"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万人</w:t>
            </w:r>
          </w:p>
        </w:tc>
        <w:tc>
          <w:tcPr>
            <w:tcW w:w="1106"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[19.67]</w:t>
            </w:r>
          </w:p>
        </w:tc>
        <w:tc>
          <w:tcPr>
            <w:tcW w:w="992"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continue"/>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p>
        </w:tc>
        <w:tc>
          <w:tcPr>
            <w:tcW w:w="616"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2</w:t>
            </w:r>
          </w:p>
        </w:tc>
        <w:tc>
          <w:tcPr>
            <w:tcW w:w="3612"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城镇调查失业率</w:t>
            </w:r>
          </w:p>
        </w:tc>
        <w:tc>
          <w:tcPr>
            <w:tcW w:w="655"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w:t>
            </w:r>
          </w:p>
        </w:tc>
        <w:tc>
          <w:tcPr>
            <w:tcW w:w="1106"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992"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continue"/>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p>
        </w:tc>
        <w:tc>
          <w:tcPr>
            <w:tcW w:w="616"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3</w:t>
            </w:r>
          </w:p>
        </w:tc>
        <w:tc>
          <w:tcPr>
            <w:tcW w:w="3612"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常住人口城镇化率</w:t>
            </w:r>
          </w:p>
        </w:tc>
        <w:tc>
          <w:tcPr>
            <w:tcW w:w="655"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w:t>
            </w:r>
          </w:p>
        </w:tc>
        <w:tc>
          <w:tcPr>
            <w:tcW w:w="1106"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64.45</w:t>
            </w:r>
          </w:p>
        </w:tc>
        <w:tc>
          <w:tcPr>
            <w:tcW w:w="992"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69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continue"/>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p>
        </w:tc>
        <w:tc>
          <w:tcPr>
            <w:tcW w:w="616"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4</w:t>
            </w:r>
          </w:p>
        </w:tc>
        <w:tc>
          <w:tcPr>
            <w:tcW w:w="3612"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居民人均可支配收入增长</w:t>
            </w:r>
          </w:p>
        </w:tc>
        <w:tc>
          <w:tcPr>
            <w:tcW w:w="655"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w:t>
            </w:r>
          </w:p>
        </w:tc>
        <w:tc>
          <w:tcPr>
            <w:tcW w:w="1106"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w:t>
            </w:r>
          </w:p>
        </w:tc>
        <w:tc>
          <w:tcPr>
            <w:tcW w:w="992"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6.5%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continue"/>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p>
        </w:tc>
        <w:tc>
          <w:tcPr>
            <w:tcW w:w="616"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5</w:t>
            </w:r>
          </w:p>
        </w:tc>
        <w:tc>
          <w:tcPr>
            <w:tcW w:w="3612"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城乡居民收入比</w:t>
            </w:r>
          </w:p>
        </w:tc>
        <w:tc>
          <w:tcPr>
            <w:tcW w:w="655"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w:t>
            </w:r>
          </w:p>
        </w:tc>
        <w:tc>
          <w:tcPr>
            <w:tcW w:w="1106"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992"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restart"/>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hAnsi="Times New Roman"/>
                <w:szCs w:val="21"/>
              </w:rPr>
              <w:t>社会事业</w:t>
            </w:r>
          </w:p>
        </w:tc>
        <w:tc>
          <w:tcPr>
            <w:tcW w:w="616"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6</w:t>
            </w:r>
          </w:p>
        </w:tc>
        <w:tc>
          <w:tcPr>
            <w:tcW w:w="3612"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每千人拥有3岁以下婴幼儿托位数</w:t>
            </w:r>
          </w:p>
        </w:tc>
        <w:tc>
          <w:tcPr>
            <w:tcW w:w="655"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w:t>
            </w:r>
          </w:p>
        </w:tc>
        <w:tc>
          <w:tcPr>
            <w:tcW w:w="1106"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2.0</w:t>
            </w:r>
          </w:p>
        </w:tc>
        <w:tc>
          <w:tcPr>
            <w:tcW w:w="992"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continue"/>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p>
        </w:tc>
        <w:tc>
          <w:tcPr>
            <w:tcW w:w="616"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7</w:t>
            </w:r>
          </w:p>
        </w:tc>
        <w:tc>
          <w:tcPr>
            <w:tcW w:w="3612"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青少年总体近视率</w:t>
            </w:r>
          </w:p>
        </w:tc>
        <w:tc>
          <w:tcPr>
            <w:tcW w:w="655"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w:t>
            </w:r>
          </w:p>
        </w:tc>
        <w:tc>
          <w:tcPr>
            <w:tcW w:w="1106"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w:t>
            </w:r>
          </w:p>
        </w:tc>
        <w:tc>
          <w:tcPr>
            <w:tcW w:w="992"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heme="minorEastAsia" w:hAnsiTheme="minorEastAsia"/>
                <w:szCs w:val="21"/>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continue"/>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p>
        </w:tc>
        <w:tc>
          <w:tcPr>
            <w:tcW w:w="616"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8</w:t>
            </w:r>
          </w:p>
        </w:tc>
        <w:tc>
          <w:tcPr>
            <w:tcW w:w="3612"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劳动人口平均受教育年限</w:t>
            </w:r>
          </w:p>
        </w:tc>
        <w:tc>
          <w:tcPr>
            <w:tcW w:w="655"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年</w:t>
            </w:r>
          </w:p>
        </w:tc>
        <w:tc>
          <w:tcPr>
            <w:tcW w:w="1106"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9.9</w:t>
            </w:r>
          </w:p>
        </w:tc>
        <w:tc>
          <w:tcPr>
            <w:tcW w:w="992" w:type="dxa"/>
            <w:shd w:val="clear" w:color="auto" w:fill="FFFFFF" w:themeFill="background1"/>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10.8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61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2</w:t>
            </w:r>
            <w:r>
              <w:rPr>
                <w:rFonts w:hint="eastAsia" w:ascii="Times New Roman" w:hAnsi="Times New Roman"/>
                <w:szCs w:val="21"/>
              </w:rPr>
              <w:t>9</w:t>
            </w:r>
          </w:p>
        </w:tc>
        <w:tc>
          <w:tcPr>
            <w:tcW w:w="3612" w:type="dxa"/>
            <w:vAlign w:val="center"/>
          </w:tcPr>
          <w:p>
            <w:pPr>
              <w:adjustRightInd w:val="0"/>
              <w:snapToGrid w:val="0"/>
              <w:spacing w:line="260" w:lineRule="exact"/>
              <w:jc w:val="center"/>
              <w:rPr>
                <w:rFonts w:ascii="Times New Roman" w:hAnsi="Times New Roman"/>
                <w:szCs w:val="21"/>
              </w:rPr>
            </w:pPr>
            <w:r>
              <w:rPr>
                <w:rFonts w:hint="eastAsia" w:ascii="Times New Roman"/>
                <w:szCs w:val="21"/>
              </w:rPr>
              <w:t>高等教育毛入学率</w:t>
            </w:r>
          </w:p>
        </w:tc>
        <w:tc>
          <w:tcPr>
            <w:tcW w:w="655"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szCs w:val="21"/>
              </w:rPr>
              <w:t>%</w:t>
            </w:r>
          </w:p>
        </w:tc>
        <w:tc>
          <w:tcPr>
            <w:tcW w:w="110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61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10</w:t>
            </w:r>
          </w:p>
        </w:tc>
        <w:tc>
          <w:tcPr>
            <w:tcW w:w="3612" w:type="dxa"/>
            <w:vAlign w:val="center"/>
          </w:tcPr>
          <w:p>
            <w:pPr>
              <w:adjustRightInd w:val="0"/>
              <w:snapToGrid w:val="0"/>
              <w:spacing w:line="260" w:lineRule="exact"/>
              <w:jc w:val="center"/>
              <w:rPr>
                <w:rFonts w:ascii="Times New Roman"/>
                <w:szCs w:val="21"/>
              </w:rPr>
            </w:pPr>
            <w:r>
              <w:rPr>
                <w:rFonts w:hint="eastAsia" w:ascii="Times New Roman"/>
                <w:szCs w:val="21"/>
              </w:rPr>
              <w:t>居民综合阅读率</w:t>
            </w:r>
          </w:p>
        </w:tc>
        <w:tc>
          <w:tcPr>
            <w:tcW w:w="655" w:type="dxa"/>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w:t>
            </w:r>
          </w:p>
        </w:tc>
        <w:tc>
          <w:tcPr>
            <w:tcW w:w="110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89.1</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93.5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61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11</w:t>
            </w:r>
          </w:p>
        </w:tc>
        <w:tc>
          <w:tcPr>
            <w:tcW w:w="361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szCs w:val="21"/>
              </w:rPr>
              <w:t>每千人拥有医疗床位数</w:t>
            </w:r>
          </w:p>
        </w:tc>
        <w:tc>
          <w:tcPr>
            <w:tcW w:w="655"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szCs w:val="21"/>
              </w:rPr>
              <w:t>张</w:t>
            </w:r>
          </w:p>
        </w:tc>
        <w:tc>
          <w:tcPr>
            <w:tcW w:w="110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5.08</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6.6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61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12</w:t>
            </w:r>
          </w:p>
        </w:tc>
        <w:tc>
          <w:tcPr>
            <w:tcW w:w="361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szCs w:val="21"/>
              </w:rPr>
              <w:t>每千人口执业（助理）医师数</w:t>
            </w:r>
          </w:p>
        </w:tc>
        <w:tc>
          <w:tcPr>
            <w:tcW w:w="655" w:type="dxa"/>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人</w:t>
            </w:r>
          </w:p>
        </w:tc>
        <w:tc>
          <w:tcPr>
            <w:tcW w:w="110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3.26</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3.9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61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13</w:t>
            </w:r>
          </w:p>
        </w:tc>
        <w:tc>
          <w:tcPr>
            <w:tcW w:w="361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szCs w:val="21"/>
              </w:rPr>
              <w:t>人均期望寿命</w:t>
            </w:r>
          </w:p>
        </w:tc>
        <w:tc>
          <w:tcPr>
            <w:tcW w:w="655"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岁</w:t>
            </w:r>
          </w:p>
        </w:tc>
        <w:tc>
          <w:tcPr>
            <w:tcW w:w="110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80.83</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82以上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61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14</w:t>
            </w:r>
          </w:p>
        </w:tc>
        <w:tc>
          <w:tcPr>
            <w:tcW w:w="3612" w:type="dxa"/>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人均体育场地面积</w:t>
            </w:r>
          </w:p>
        </w:tc>
        <w:tc>
          <w:tcPr>
            <w:tcW w:w="655" w:type="dxa"/>
            <w:vAlign w:val="center"/>
          </w:tcPr>
          <w:p>
            <w:pPr>
              <w:kinsoku w:val="0"/>
              <w:overflowPunct w:val="0"/>
              <w:autoSpaceDE w:val="0"/>
              <w:autoSpaceDN w:val="0"/>
              <w:adjustRightInd w:val="0"/>
              <w:snapToGrid w:val="0"/>
              <w:spacing w:line="260" w:lineRule="exact"/>
              <w:jc w:val="center"/>
              <w:rPr>
                <w:rFonts w:ascii="Times New Roman"/>
                <w:szCs w:val="21"/>
              </w:rPr>
            </w:pPr>
            <w:r>
              <w:rPr>
                <w:rFonts w:ascii="Times New Roman" w:hAnsi="Times New Roman"/>
                <w:szCs w:val="21"/>
              </w:rPr>
              <w:t>M</w:t>
            </w:r>
            <w:r>
              <w:rPr>
                <w:rFonts w:ascii="Times New Roman" w:hAnsi="Times New Roman"/>
                <w:szCs w:val="21"/>
                <w:vertAlign w:val="superscript"/>
              </w:rPr>
              <w:t>2</w:t>
            </w:r>
          </w:p>
        </w:tc>
        <w:tc>
          <w:tcPr>
            <w:tcW w:w="110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2.25</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710" w:type="dxa"/>
            <w:vMerge w:val="restart"/>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社会保障</w:t>
            </w:r>
          </w:p>
        </w:tc>
        <w:tc>
          <w:tcPr>
            <w:tcW w:w="61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15</w:t>
            </w:r>
          </w:p>
        </w:tc>
        <w:tc>
          <w:tcPr>
            <w:tcW w:w="361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szCs w:val="21"/>
              </w:rPr>
              <w:t>城镇住房保障受益覆盖面</w:t>
            </w:r>
          </w:p>
        </w:tc>
        <w:tc>
          <w:tcPr>
            <w:tcW w:w="655"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w:t>
            </w:r>
          </w:p>
        </w:tc>
        <w:tc>
          <w:tcPr>
            <w:tcW w:w="1106" w:type="dxa"/>
            <w:vAlign w:val="center"/>
          </w:tcPr>
          <w:p>
            <w:pPr>
              <w:jc w:val="center"/>
              <w:rPr>
                <w:rFonts w:ascii="Times New Roman" w:hAnsi="Times New Roman"/>
                <w:szCs w:val="21"/>
              </w:rPr>
            </w:pPr>
            <w:r>
              <w:rPr>
                <w:rFonts w:hint="eastAsia" w:ascii="Times New Roman" w:hAnsi="Times New Roman"/>
                <w:szCs w:val="21"/>
              </w:rPr>
              <w:t>23.75</w:t>
            </w:r>
          </w:p>
        </w:tc>
        <w:tc>
          <w:tcPr>
            <w:tcW w:w="992" w:type="dxa"/>
            <w:vAlign w:val="center"/>
          </w:tcPr>
          <w:p>
            <w:pPr>
              <w:jc w:val="center"/>
              <w:rPr>
                <w:rFonts w:ascii="Times New Roman" w:hAnsi="Times New Roman"/>
                <w:szCs w:val="21"/>
              </w:rPr>
            </w:pPr>
            <w:r>
              <w:rPr>
                <w:rFonts w:hint="eastAsia" w:ascii="Times New Roman" w:hAnsi="Times New Roman"/>
                <w:szCs w:val="21"/>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61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16</w:t>
            </w:r>
          </w:p>
        </w:tc>
        <w:tc>
          <w:tcPr>
            <w:tcW w:w="361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每万老年人拥有持证养老护理员数</w:t>
            </w:r>
          </w:p>
        </w:tc>
        <w:tc>
          <w:tcPr>
            <w:tcW w:w="655"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人</w:t>
            </w:r>
          </w:p>
        </w:tc>
        <w:tc>
          <w:tcPr>
            <w:tcW w:w="110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61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17</w:t>
            </w:r>
          </w:p>
        </w:tc>
        <w:tc>
          <w:tcPr>
            <w:tcW w:w="361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基本养老保险参保人数</w:t>
            </w:r>
          </w:p>
        </w:tc>
        <w:tc>
          <w:tcPr>
            <w:tcW w:w="655"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万人</w:t>
            </w:r>
          </w:p>
        </w:tc>
        <w:tc>
          <w:tcPr>
            <w:tcW w:w="110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460.7</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470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61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1</w:t>
            </w:r>
            <w:r>
              <w:rPr>
                <w:rFonts w:hint="eastAsia" w:ascii="Times New Roman" w:hAnsi="Times New Roman"/>
                <w:szCs w:val="21"/>
              </w:rPr>
              <w:t>8</w:t>
            </w:r>
          </w:p>
        </w:tc>
        <w:tc>
          <w:tcPr>
            <w:tcW w:w="361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城乡最低生活保障标准</w:t>
            </w:r>
          </w:p>
        </w:tc>
        <w:tc>
          <w:tcPr>
            <w:tcW w:w="655"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szCs w:val="21"/>
              </w:rPr>
              <w:t>万人</w:t>
            </w:r>
          </w:p>
        </w:tc>
        <w:tc>
          <w:tcPr>
            <w:tcW w:w="110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9720</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14000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61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ascii="Times New Roman" w:hAnsi="Times New Roman"/>
                <w:szCs w:val="21"/>
              </w:rPr>
              <w:t>1</w:t>
            </w:r>
            <w:r>
              <w:rPr>
                <w:rFonts w:hint="eastAsia" w:ascii="Times New Roman" w:hAnsi="Times New Roman"/>
                <w:szCs w:val="21"/>
              </w:rPr>
              <w:t>9</w:t>
            </w:r>
          </w:p>
        </w:tc>
        <w:tc>
          <w:tcPr>
            <w:tcW w:w="361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szCs w:val="21"/>
              </w:rPr>
              <w:t>每千名老人拥有机构养老床位数</w:t>
            </w:r>
          </w:p>
        </w:tc>
        <w:tc>
          <w:tcPr>
            <w:tcW w:w="655"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szCs w:val="21"/>
              </w:rPr>
              <w:t>张</w:t>
            </w:r>
          </w:p>
        </w:tc>
        <w:tc>
          <w:tcPr>
            <w:tcW w:w="110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restart"/>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szCs w:val="21"/>
              </w:rPr>
              <w:t>社会产业</w:t>
            </w:r>
          </w:p>
        </w:tc>
        <w:tc>
          <w:tcPr>
            <w:tcW w:w="61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20</w:t>
            </w:r>
          </w:p>
        </w:tc>
        <w:tc>
          <w:tcPr>
            <w:tcW w:w="361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旅游产业增加值占GDP比重</w:t>
            </w:r>
          </w:p>
        </w:tc>
        <w:tc>
          <w:tcPr>
            <w:tcW w:w="655"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w:t>
            </w:r>
          </w:p>
        </w:tc>
        <w:tc>
          <w:tcPr>
            <w:tcW w:w="110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61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21</w:t>
            </w:r>
          </w:p>
        </w:tc>
        <w:tc>
          <w:tcPr>
            <w:tcW w:w="361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文化及相关产业增加值占GDP比重</w:t>
            </w:r>
          </w:p>
        </w:tc>
        <w:tc>
          <w:tcPr>
            <w:tcW w:w="655"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w:t>
            </w:r>
          </w:p>
        </w:tc>
        <w:tc>
          <w:tcPr>
            <w:tcW w:w="110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4.3</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61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22</w:t>
            </w:r>
          </w:p>
        </w:tc>
        <w:tc>
          <w:tcPr>
            <w:tcW w:w="361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健康产业增加值占GDP比重</w:t>
            </w:r>
          </w:p>
        </w:tc>
        <w:tc>
          <w:tcPr>
            <w:tcW w:w="655"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w:t>
            </w:r>
          </w:p>
        </w:tc>
        <w:tc>
          <w:tcPr>
            <w:tcW w:w="110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61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23</w:t>
            </w:r>
          </w:p>
        </w:tc>
        <w:tc>
          <w:tcPr>
            <w:tcW w:w="361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体育产业增加值占GDP比重</w:t>
            </w:r>
          </w:p>
        </w:tc>
        <w:tc>
          <w:tcPr>
            <w:tcW w:w="655"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w:t>
            </w:r>
          </w:p>
        </w:tc>
        <w:tc>
          <w:tcPr>
            <w:tcW w:w="110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1.0</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restart"/>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社会治理</w:t>
            </w:r>
          </w:p>
        </w:tc>
        <w:tc>
          <w:tcPr>
            <w:tcW w:w="61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24</w:t>
            </w:r>
          </w:p>
        </w:tc>
        <w:tc>
          <w:tcPr>
            <w:tcW w:w="3612" w:type="dxa"/>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依申请政府服务办件“一网通办”率</w:t>
            </w:r>
          </w:p>
        </w:tc>
        <w:tc>
          <w:tcPr>
            <w:tcW w:w="655"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w:t>
            </w:r>
          </w:p>
        </w:tc>
        <w:tc>
          <w:tcPr>
            <w:tcW w:w="110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81.6</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90以上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61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25</w:t>
            </w:r>
          </w:p>
        </w:tc>
        <w:tc>
          <w:tcPr>
            <w:tcW w:w="3612" w:type="dxa"/>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综合行政执法事项占比</w:t>
            </w:r>
          </w:p>
        </w:tc>
        <w:tc>
          <w:tcPr>
            <w:tcW w:w="655"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110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6.36</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20以上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10" w:type="dxa"/>
            <w:vMerge w:val="continue"/>
            <w:vAlign w:val="center"/>
          </w:tcPr>
          <w:p>
            <w:pPr>
              <w:kinsoku w:val="0"/>
              <w:overflowPunct w:val="0"/>
              <w:autoSpaceDE w:val="0"/>
              <w:autoSpaceDN w:val="0"/>
              <w:adjustRightInd w:val="0"/>
              <w:snapToGrid w:val="0"/>
              <w:spacing w:line="260" w:lineRule="exact"/>
              <w:jc w:val="center"/>
              <w:rPr>
                <w:rFonts w:ascii="Times New Roman" w:hAnsi="Times New Roman"/>
                <w:szCs w:val="21"/>
              </w:rPr>
            </w:pPr>
          </w:p>
        </w:tc>
        <w:tc>
          <w:tcPr>
            <w:tcW w:w="61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26</w:t>
            </w:r>
          </w:p>
        </w:tc>
        <w:tc>
          <w:tcPr>
            <w:tcW w:w="3612" w:type="dxa"/>
            <w:vAlign w:val="center"/>
          </w:tcPr>
          <w:p>
            <w:pPr>
              <w:kinsoku w:val="0"/>
              <w:overflowPunct w:val="0"/>
              <w:autoSpaceDE w:val="0"/>
              <w:autoSpaceDN w:val="0"/>
              <w:adjustRightInd w:val="0"/>
              <w:snapToGrid w:val="0"/>
              <w:spacing w:line="260" w:lineRule="exact"/>
              <w:jc w:val="center"/>
              <w:rPr>
                <w:rFonts w:ascii="Times New Roman"/>
                <w:szCs w:val="21"/>
              </w:rPr>
            </w:pPr>
            <w:r>
              <w:rPr>
                <w:rFonts w:ascii="Times New Roman"/>
                <w:szCs w:val="21"/>
              </w:rPr>
              <w:t>亿</w:t>
            </w:r>
            <w:r>
              <w:rPr>
                <w:rFonts w:ascii="Times New Roman" w:hAnsi="Times New Roman" w:cs="Times New Roman"/>
                <w:szCs w:val="21"/>
              </w:rPr>
              <w:t>元GDP生</w:t>
            </w:r>
            <w:r>
              <w:rPr>
                <w:rFonts w:ascii="Times New Roman"/>
                <w:szCs w:val="21"/>
              </w:rPr>
              <w:t>产安全事故死亡率</w:t>
            </w:r>
          </w:p>
        </w:tc>
        <w:tc>
          <w:tcPr>
            <w:tcW w:w="655" w:type="dxa"/>
            <w:vAlign w:val="center"/>
          </w:tcPr>
          <w:p>
            <w:pPr>
              <w:kinsoku w:val="0"/>
              <w:overflowPunct w:val="0"/>
              <w:autoSpaceDE w:val="0"/>
              <w:autoSpaceDN w:val="0"/>
              <w:adjustRightInd w:val="0"/>
              <w:snapToGrid w:val="0"/>
              <w:spacing w:line="260" w:lineRule="exact"/>
              <w:jc w:val="center"/>
              <w:rPr>
                <w:rFonts w:ascii="Times New Roman"/>
                <w:szCs w:val="21"/>
              </w:rPr>
            </w:pPr>
            <w:r>
              <w:rPr>
                <w:rFonts w:hint="eastAsia" w:ascii="Times New Roman"/>
                <w:szCs w:val="21"/>
              </w:rPr>
              <w:t>%</w:t>
            </w:r>
          </w:p>
        </w:tc>
        <w:tc>
          <w:tcPr>
            <w:tcW w:w="1106" w:type="dxa"/>
            <w:vAlign w:val="center"/>
          </w:tcPr>
          <w:p>
            <w:pPr>
              <w:kinsoku w:val="0"/>
              <w:overflowPunct w:val="0"/>
              <w:autoSpaceDE w:val="0"/>
              <w:autoSpaceDN w:val="0"/>
              <w:adjustRightInd w:val="0"/>
              <w:snapToGrid w:val="0"/>
              <w:spacing w:line="260" w:lineRule="exact"/>
              <w:jc w:val="center"/>
              <w:rPr>
                <w:rFonts w:ascii="Times New Roman" w:hAnsi="Times New Roman"/>
                <w:szCs w:val="21"/>
              </w:rPr>
            </w:pPr>
            <w:r>
              <w:rPr>
                <w:rFonts w:hint="eastAsia" w:ascii="Times New Roman" w:hAnsi="Times New Roman"/>
                <w:szCs w:val="21"/>
              </w:rPr>
              <w:t>0.021</w:t>
            </w:r>
          </w:p>
        </w:tc>
        <w:tc>
          <w:tcPr>
            <w:tcW w:w="992" w:type="dxa"/>
            <w:vAlign w:val="center"/>
          </w:tcPr>
          <w:p>
            <w:pPr>
              <w:kinsoku w:val="0"/>
              <w:overflowPunct w:val="0"/>
              <w:autoSpaceDE w:val="0"/>
              <w:autoSpaceDN w:val="0"/>
              <w:adjustRightInd w:val="0"/>
              <w:snapToGrid w:val="0"/>
              <w:spacing w:line="260" w:lineRule="exact"/>
              <w:jc w:val="center"/>
              <w:rPr>
                <w:rFonts w:ascii="Times New Roman" w:hAnsi="Times New Roman" w:cs="Times New Roman"/>
                <w:szCs w:val="21"/>
              </w:rPr>
            </w:pPr>
            <w:r>
              <w:rPr>
                <w:rFonts w:ascii="Times New Roman" w:hAnsi="Times New Roman" w:cs="Times New Roman"/>
                <w:szCs w:val="21"/>
              </w:rPr>
              <w:t>0.011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691" w:type="dxa"/>
            <w:gridSpan w:val="6"/>
            <w:vAlign w:val="center"/>
          </w:tcPr>
          <w:p>
            <w:pPr>
              <w:kinsoku w:val="0"/>
              <w:overflowPunct w:val="0"/>
              <w:autoSpaceDE w:val="0"/>
              <w:autoSpaceDN w:val="0"/>
              <w:adjustRightInd w:val="0"/>
              <w:snapToGrid w:val="0"/>
              <w:spacing w:line="260" w:lineRule="exact"/>
              <w:jc w:val="left"/>
              <w:rPr>
                <w:rFonts w:asciiTheme="minorEastAsia" w:hAnsiTheme="minorEastAsia"/>
                <w:szCs w:val="21"/>
              </w:rPr>
            </w:pPr>
            <w:r>
              <w:rPr>
                <w:rFonts w:hint="eastAsia" w:asciiTheme="minorEastAsia" w:hAnsiTheme="minorEastAsia"/>
                <w:szCs w:val="21"/>
              </w:rPr>
              <w:t>[ ]表示5年累计数</w:t>
            </w:r>
          </w:p>
        </w:tc>
      </w:tr>
    </w:tbl>
    <w:p>
      <w:pPr>
        <w:spacing w:beforeLines="50"/>
        <w:ind w:firstLine="643" w:firstLineChars="200"/>
        <w:rPr>
          <w:rFonts w:ascii="仿宋_GB2312" w:eastAsia="仿宋_GB2312"/>
          <w:color w:val="000000"/>
          <w:sz w:val="32"/>
          <w:szCs w:val="32"/>
        </w:rPr>
      </w:pPr>
      <w:bookmarkStart w:id="10" w:name="_Toc68980524"/>
      <w:r>
        <w:rPr>
          <w:rFonts w:hint="eastAsia" w:ascii="仿宋_GB2312" w:eastAsia="仿宋_GB2312"/>
          <w:b/>
          <w:sz w:val="32"/>
          <w:szCs w:val="32"/>
        </w:rPr>
        <w:t>到2035年，</w:t>
      </w:r>
      <w:r>
        <w:rPr>
          <w:rFonts w:hint="eastAsia" w:ascii="仿宋_GB2312" w:hAnsi="宋体" w:eastAsia="仿宋_GB2312" w:cs="宋体"/>
          <w:color w:val="000000"/>
          <w:kern w:val="0"/>
          <w:sz w:val="32"/>
          <w:szCs w:val="32"/>
        </w:rPr>
        <w:t>全市将基本实现高水平现代化，</w:t>
      </w:r>
      <w:r>
        <w:rPr>
          <w:rFonts w:hint="eastAsia" w:ascii="仿宋_GB2312" w:eastAsia="仿宋_GB2312"/>
          <w:color w:val="000000"/>
          <w:sz w:val="32"/>
          <w:szCs w:val="32"/>
        </w:rPr>
        <w:t>率先实现教育现代化、卫生健康现代化，文化软实力全面增强，高品质生活广泛享有，市民素质和社会文明达到新高度。共同富裕率先取得实质性重大进展，居民人均可支配收入超过11万元，居民人均收入与人均生产总值之比达到发达经济体水平，建成现代化公共服务体系。高水平建成体现融合群众智慧和人工智能的整体智治体系，建成法治政府、法治社会，建成法治中国、平安中国示范区。</w:t>
      </w:r>
    </w:p>
    <w:p>
      <w:pPr>
        <w:ind w:firstLine="643" w:firstLineChars="200"/>
        <w:jc w:val="left"/>
        <w:outlineLvl w:val="0"/>
        <w:rPr>
          <w:rFonts w:ascii="仿宋_GB2312" w:eastAsia="仿宋_GB2312"/>
          <w:b/>
          <w:sz w:val="32"/>
          <w:szCs w:val="32"/>
        </w:rPr>
      </w:pPr>
      <w:bookmarkStart w:id="11" w:name="_Toc69259716"/>
      <w:r>
        <w:rPr>
          <w:rFonts w:hint="eastAsia" w:ascii="仿宋_GB2312" w:eastAsia="仿宋_GB2312"/>
          <w:b/>
          <w:sz w:val="32"/>
          <w:szCs w:val="32"/>
        </w:rPr>
        <w:t>三、主要任务</w:t>
      </w:r>
      <w:bookmarkEnd w:id="10"/>
      <w:bookmarkEnd w:id="11"/>
    </w:p>
    <w:p>
      <w:pPr>
        <w:ind w:firstLine="643" w:firstLineChars="200"/>
        <w:jc w:val="left"/>
        <w:outlineLvl w:val="1"/>
        <w:rPr>
          <w:rFonts w:ascii="仿宋_GB2312" w:eastAsia="仿宋_GB2312"/>
          <w:b/>
          <w:sz w:val="32"/>
          <w:szCs w:val="32"/>
        </w:rPr>
      </w:pPr>
      <w:bookmarkStart w:id="12" w:name="_Toc69259717"/>
      <w:bookmarkStart w:id="13" w:name="_Toc68980525"/>
      <w:r>
        <w:rPr>
          <w:rFonts w:hint="eastAsia" w:ascii="仿宋_GB2312" w:eastAsia="仿宋_GB2312"/>
          <w:b/>
          <w:sz w:val="32"/>
          <w:szCs w:val="32"/>
        </w:rPr>
        <w:t>（一）就业增收“富民”行动</w:t>
      </w:r>
      <w:bookmarkEnd w:id="12"/>
      <w:bookmarkEnd w:id="13"/>
    </w:p>
    <w:p>
      <w:pPr>
        <w:widowControl/>
        <w:ind w:firstLine="640" w:firstLineChars="200"/>
        <w:jc w:val="left"/>
        <w:rPr>
          <w:rFonts w:ascii="仿宋_GB2312" w:hAnsi="宋体" w:eastAsia="仿宋_GB2312" w:cs="宋体"/>
          <w:color w:val="000000"/>
          <w:kern w:val="0"/>
          <w:sz w:val="32"/>
          <w:szCs w:val="32"/>
        </w:rPr>
      </w:pPr>
      <w:bookmarkStart w:id="14" w:name="_Toc68980526"/>
      <w:r>
        <w:rPr>
          <w:rFonts w:hint="eastAsia" w:ascii="仿宋_GB2312" w:hAnsi="宋体" w:eastAsia="仿宋_GB2312" w:cs="宋体"/>
          <w:color w:val="000000"/>
          <w:kern w:val="0"/>
          <w:sz w:val="32"/>
          <w:szCs w:val="32"/>
        </w:rPr>
        <w:t>秉承“富民”理念，强化就业优先导向，坚持创造更多就业岗位和稳定现有就业岗位并重，促进劳动人口享有更充分更高质量的就业，完善收入增长和财富分配合理调节机制，着力提高居民收入，让人民群众在共建共享中有更多获得感</w:t>
      </w:r>
    </w:p>
    <w:p>
      <w:pPr>
        <w:ind w:firstLine="643" w:firstLineChars="200"/>
        <w:outlineLvl w:val="2"/>
        <w:rPr>
          <w:rFonts w:ascii="仿宋_GB2312" w:hAnsi="Times New Roman" w:eastAsia="仿宋_GB2312" w:cs="Times New Roman"/>
          <w:b/>
          <w:sz w:val="32"/>
          <w:szCs w:val="32"/>
        </w:rPr>
      </w:pPr>
      <w:bookmarkStart w:id="15" w:name="_Toc69259718"/>
      <w:r>
        <w:rPr>
          <w:rFonts w:hint="eastAsia" w:ascii="仿宋_GB2312" w:hAnsi="Times New Roman" w:eastAsia="仿宋_GB2312" w:cs="Times New Roman"/>
          <w:b/>
          <w:sz w:val="32"/>
          <w:szCs w:val="32"/>
        </w:rPr>
        <w:t>1、完善高质量就业支持体系</w:t>
      </w:r>
      <w:bookmarkEnd w:id="14"/>
      <w:bookmarkEnd w:id="15"/>
    </w:p>
    <w:p>
      <w:pPr>
        <w:ind w:firstLine="643" w:firstLineChars="200"/>
        <w:rPr>
          <w:rFonts w:ascii="仿宋_GB2312" w:eastAsia="仿宋_GB2312"/>
          <w:color w:val="000000"/>
          <w:sz w:val="32"/>
          <w:szCs w:val="32"/>
        </w:rPr>
      </w:pPr>
      <w:r>
        <w:rPr>
          <w:rFonts w:hint="eastAsia" w:ascii="仿宋_GB2312" w:eastAsia="仿宋_GB2312" w:hAnsiTheme="minorEastAsia"/>
          <w:b/>
          <w:sz w:val="32"/>
          <w:szCs w:val="32"/>
        </w:rPr>
        <w:t>完善就业支持体系。</w:t>
      </w:r>
      <w:r>
        <w:rPr>
          <w:rFonts w:hint="eastAsia" w:ascii="仿宋_GB2312" w:eastAsia="仿宋_GB2312" w:hAnsiTheme="minorEastAsia"/>
          <w:sz w:val="32"/>
          <w:szCs w:val="32"/>
        </w:rPr>
        <w:t>全面强化就业优先战略，严格落实国家关于促进充分就业各项政策</w:t>
      </w:r>
      <w:r>
        <w:rPr>
          <w:rFonts w:hint="eastAsia" w:ascii="仿宋_GB2312" w:eastAsia="仿宋_GB2312" w:cs="Times New Roman" w:hAnsiTheme="minorEastAsia"/>
          <w:sz w:val="32"/>
          <w:szCs w:val="32"/>
        </w:rPr>
        <w:t>，</w:t>
      </w:r>
      <w:r>
        <w:rPr>
          <w:rFonts w:hint="eastAsia" w:ascii="仿宋_GB2312" w:eastAsia="仿宋_GB2312"/>
          <w:color w:val="000000"/>
          <w:sz w:val="32"/>
          <w:szCs w:val="32"/>
        </w:rPr>
        <w:t>进一步加大向社会购买服务成果力度，</w:t>
      </w:r>
      <w:r>
        <w:rPr>
          <w:rFonts w:hint="eastAsia" w:ascii="仿宋_GB2312" w:eastAsia="仿宋_GB2312" w:cs="Times New Roman" w:hAnsiTheme="minorEastAsia"/>
          <w:sz w:val="32"/>
          <w:szCs w:val="32"/>
        </w:rPr>
        <w:t>构建</w:t>
      </w:r>
      <w:r>
        <w:rPr>
          <w:rFonts w:hint="eastAsia" w:ascii="仿宋_GB2312" w:hAnsi="Times New Roman" w:eastAsia="仿宋_GB2312" w:cs="Times New Roman"/>
          <w:sz w:val="32"/>
          <w:szCs w:val="32"/>
        </w:rPr>
        <w:t>“1+1+1+N”</w:t>
      </w:r>
      <w:r>
        <w:rPr>
          <w:rFonts w:hint="eastAsia" w:ascii="仿宋_GB2312" w:eastAsia="仿宋_GB2312" w:cs="Times New Roman" w:hAnsiTheme="minorEastAsia"/>
          <w:sz w:val="32"/>
          <w:szCs w:val="32"/>
        </w:rPr>
        <w:t>的高质量就</w:t>
      </w:r>
      <w:r>
        <w:rPr>
          <w:rFonts w:hint="eastAsia" w:ascii="仿宋_GB2312" w:eastAsia="仿宋_GB2312" w:hAnsiTheme="minorEastAsia"/>
          <w:sz w:val="32"/>
          <w:szCs w:val="32"/>
        </w:rPr>
        <w:t>业政策服务体系。实施重大项目带动工程，多渠道开发就业岗位，</w:t>
      </w:r>
      <w:r>
        <w:rPr>
          <w:rFonts w:hint="eastAsia" w:ascii="仿宋_GB2312" w:eastAsia="仿宋_GB2312"/>
          <w:color w:val="000000"/>
          <w:sz w:val="32"/>
          <w:szCs w:val="32"/>
        </w:rPr>
        <w:t>规范发展新就业形态，支持自主创业和各种方式灵活就业。</w:t>
      </w:r>
      <w:r>
        <w:rPr>
          <w:rFonts w:hint="eastAsia" w:ascii="仿宋_GB2312" w:hAnsi="Times New Roman" w:eastAsia="仿宋_GB2312"/>
          <w:sz w:val="32"/>
          <w:szCs w:val="32"/>
        </w:rPr>
        <w:t>强化失业保险稳岗支持，</w:t>
      </w:r>
      <w:r>
        <w:rPr>
          <w:rFonts w:hint="eastAsia" w:ascii="仿宋_GB2312" w:hAnsi="宋体" w:eastAsia="仿宋_GB2312" w:cs="宋体"/>
          <w:color w:val="000000"/>
          <w:kern w:val="0"/>
          <w:sz w:val="32"/>
          <w:szCs w:val="32"/>
        </w:rPr>
        <w:t>加强用工服务保障，</w:t>
      </w:r>
      <w:r>
        <w:rPr>
          <w:rFonts w:hint="eastAsia" w:ascii="仿宋_GB2312" w:hAnsi="Times New Roman" w:eastAsia="仿宋_GB2312"/>
          <w:sz w:val="32"/>
          <w:szCs w:val="32"/>
        </w:rPr>
        <w:t>支持企业稳岗就业。</w:t>
      </w:r>
      <w:r>
        <w:rPr>
          <w:rFonts w:hint="eastAsia" w:ascii="仿宋_GB2312" w:eastAsia="仿宋_GB2312"/>
          <w:color w:val="000000"/>
          <w:sz w:val="32"/>
          <w:szCs w:val="32"/>
        </w:rPr>
        <w:t>巩固“驻点招工”等省际劳务合作长效机制，完善多方联动的企业人力资源保障体系。打造人力资源产业园，集聚各类人力资源服务商，完善产业链，提供优质、便捷和全面的人力资源服务。健全就业失业动态监测和预警机制，完善应急处置预案，有效防范规模性失业风险。</w:t>
      </w:r>
    </w:p>
    <w:p>
      <w:pPr>
        <w:ind w:firstLine="643" w:firstLineChars="200"/>
        <w:rPr>
          <w:rFonts w:ascii="仿宋_GB2312" w:eastAsia="仿宋_GB2312" w:hAnsiTheme="minorEastAsia"/>
          <w:b/>
          <w:sz w:val="32"/>
          <w:szCs w:val="32"/>
        </w:rPr>
      </w:pPr>
      <w:r>
        <w:rPr>
          <w:rFonts w:hint="eastAsia" w:ascii="仿宋_GB2312" w:eastAsia="仿宋_GB2312" w:hAnsiTheme="minorEastAsia"/>
          <w:b/>
          <w:sz w:val="32"/>
          <w:szCs w:val="32"/>
        </w:rPr>
        <w:t>突出保障重点群体就业。</w:t>
      </w:r>
      <w:r>
        <w:rPr>
          <w:rFonts w:hint="eastAsia" w:ascii="仿宋_GB2312" w:eastAsia="仿宋_GB2312"/>
          <w:color w:val="000000"/>
          <w:sz w:val="32"/>
          <w:szCs w:val="32"/>
        </w:rPr>
        <w:t>构建终身职业技能培训体系，围绕高校毕业生、退役军人、农民工、失业人员和转岗职工等就业创业重点群体，</w:t>
      </w:r>
      <w:r>
        <w:rPr>
          <w:rFonts w:hint="eastAsia" w:ascii="仿宋_GB2312" w:eastAsia="仿宋_GB2312" w:cs="Times New Roman" w:hAnsiTheme="minorEastAsia"/>
          <w:sz w:val="32"/>
          <w:szCs w:val="32"/>
        </w:rPr>
        <w:t>深入实施</w:t>
      </w:r>
      <w:r>
        <w:rPr>
          <w:rFonts w:hint="eastAsia" w:ascii="仿宋_GB2312" w:hAnsi="Times New Roman" w:eastAsia="仿宋_GB2312" w:cs="Times New Roman"/>
          <w:sz w:val="32"/>
          <w:szCs w:val="32"/>
        </w:rPr>
        <w:t>“</w:t>
      </w:r>
      <w:r>
        <w:rPr>
          <w:rFonts w:hint="eastAsia" w:ascii="仿宋_GB2312" w:eastAsia="仿宋_GB2312" w:cs="Times New Roman" w:hAnsiTheme="minorEastAsia"/>
          <w:sz w:val="32"/>
          <w:szCs w:val="32"/>
        </w:rPr>
        <w:t>技能台州</w:t>
      </w:r>
      <w:r>
        <w:rPr>
          <w:rFonts w:hint="eastAsia" w:ascii="仿宋_GB2312" w:hAnsi="Times New Roman" w:eastAsia="仿宋_GB2312" w:cs="Times New Roman"/>
          <w:sz w:val="32"/>
          <w:szCs w:val="32"/>
        </w:rPr>
        <w:t>”</w:t>
      </w:r>
      <w:r>
        <w:rPr>
          <w:rFonts w:hint="eastAsia" w:ascii="仿宋_GB2312" w:eastAsia="仿宋_GB2312" w:cs="Times New Roman" w:hAnsiTheme="minorEastAsia"/>
          <w:sz w:val="32"/>
          <w:szCs w:val="32"/>
        </w:rPr>
        <w:t>工</w:t>
      </w:r>
      <w:r>
        <w:rPr>
          <w:rFonts w:hint="eastAsia" w:ascii="仿宋_GB2312" w:eastAsia="仿宋_GB2312" w:hAnsiTheme="minorEastAsia"/>
          <w:sz w:val="32"/>
          <w:szCs w:val="32"/>
        </w:rPr>
        <w:t>程，</w:t>
      </w:r>
      <w:r>
        <w:rPr>
          <w:rFonts w:hint="eastAsia" w:ascii="仿宋_GB2312" w:eastAsia="仿宋_GB2312"/>
          <w:color w:val="000000"/>
          <w:sz w:val="32"/>
          <w:szCs w:val="32"/>
        </w:rPr>
        <w:t>完善贯穿职业生涯发展全过程的终身职业技能培训政策。</w:t>
      </w:r>
      <w:r>
        <w:rPr>
          <w:rFonts w:hint="eastAsia" w:ascii="仿宋_GB2312" w:hAnsi="Times New Roman" w:eastAsia="仿宋_GB2312"/>
          <w:sz w:val="32"/>
          <w:szCs w:val="32"/>
        </w:rPr>
        <w:t>深入推进高校毕业生就业创业促进计划及高校毕业生基层服务项目，拓展高校毕业生就业领域，完善就业见习扶持</w:t>
      </w:r>
      <w:r>
        <w:rPr>
          <w:rFonts w:hint="eastAsia" w:ascii="仿宋_GB2312" w:eastAsia="仿宋_GB2312" w:hAnsiTheme="minorEastAsia"/>
          <w:sz w:val="32"/>
          <w:szCs w:val="32"/>
        </w:rPr>
        <w:t>。</w:t>
      </w:r>
      <w:r>
        <w:rPr>
          <w:rFonts w:hint="eastAsia" w:ascii="仿宋_GB2312" w:hAnsi="Times New Roman" w:eastAsia="仿宋_GB2312"/>
          <w:sz w:val="32"/>
          <w:szCs w:val="32"/>
        </w:rPr>
        <w:t>落实乡村振兴战略和新型城镇化战略，促进农村富余劳动力有序外出就业、就地就近就业和返乡创业。强化就业困难人员兜底帮扶，动态消除“零就业家庭”。</w:t>
      </w:r>
      <w:r>
        <w:rPr>
          <w:rFonts w:hint="eastAsia" w:ascii="仿宋_GB2312" w:eastAsia="仿宋_GB2312" w:cs="Times New Roman" w:hAnsiTheme="minorEastAsia"/>
          <w:sz w:val="32"/>
          <w:szCs w:val="32"/>
        </w:rPr>
        <w:t>力争</w:t>
      </w:r>
      <w:r>
        <w:rPr>
          <w:rFonts w:hint="eastAsia" w:ascii="仿宋_GB2312" w:hAnsi="Times New Roman" w:eastAsia="仿宋_GB2312" w:cs="Times New Roman"/>
          <w:sz w:val="32"/>
          <w:szCs w:val="32"/>
        </w:rPr>
        <w:t>“</w:t>
      </w:r>
      <w:r>
        <w:rPr>
          <w:rFonts w:hint="eastAsia" w:ascii="仿宋_GB2312" w:eastAsia="仿宋_GB2312" w:cs="Times New Roman" w:hAnsiTheme="minorEastAsia"/>
          <w:sz w:val="32"/>
          <w:szCs w:val="32"/>
        </w:rPr>
        <w:t>十四五</w:t>
      </w:r>
      <w:r>
        <w:rPr>
          <w:rFonts w:hint="eastAsia" w:ascii="仿宋_GB2312" w:hAnsi="Times New Roman" w:eastAsia="仿宋_GB2312" w:cs="Times New Roman"/>
          <w:sz w:val="32"/>
          <w:szCs w:val="32"/>
        </w:rPr>
        <w:t>”</w:t>
      </w:r>
      <w:r>
        <w:rPr>
          <w:rFonts w:hint="eastAsia" w:ascii="仿宋_GB2312" w:eastAsia="仿宋_GB2312" w:cs="Times New Roman" w:hAnsiTheme="minorEastAsia"/>
          <w:sz w:val="32"/>
          <w:szCs w:val="32"/>
        </w:rPr>
        <w:t>期间</w:t>
      </w:r>
      <w:r>
        <w:rPr>
          <w:rFonts w:hint="eastAsia" w:ascii="仿宋_GB2312" w:hAnsi="宋体" w:eastAsia="仿宋_GB2312" w:cs="宋体"/>
          <w:color w:val="000000"/>
          <w:kern w:val="0"/>
          <w:sz w:val="32"/>
          <w:szCs w:val="32"/>
        </w:rPr>
        <w:t>全省累计实现城镇新增就业</w:t>
      </w:r>
      <w:r>
        <w:rPr>
          <w:rFonts w:ascii="Times New Roman" w:hAnsi="Times New Roman" w:eastAsia="宋体" w:cs="Times New Roman"/>
          <w:color w:val="000000"/>
          <w:kern w:val="0"/>
          <w:sz w:val="32"/>
          <w:szCs w:val="32"/>
        </w:rPr>
        <w:t>40</w:t>
      </w:r>
      <w:r>
        <w:rPr>
          <w:rFonts w:hint="eastAsia" w:ascii="仿宋_GB2312" w:hAnsi="宋体" w:eastAsia="仿宋_GB2312" w:cs="宋体"/>
          <w:color w:val="000000"/>
          <w:kern w:val="0"/>
          <w:sz w:val="32"/>
          <w:szCs w:val="32"/>
        </w:rPr>
        <w:t>万人以上，城镇调查失业率控制在**</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左右，</w:t>
      </w:r>
      <w:r>
        <w:rPr>
          <w:rFonts w:hint="eastAsia" w:ascii="仿宋_GB2312" w:eastAsia="仿宋_GB2312"/>
          <w:color w:val="000000"/>
          <w:sz w:val="32"/>
          <w:szCs w:val="32"/>
        </w:rPr>
        <w:t>实施职业技能培训</w:t>
      </w:r>
      <w:r>
        <w:rPr>
          <w:rFonts w:hint="eastAsia" w:ascii="Times New Roman" w:hAnsi="Times New Roman" w:cs="Times New Roman"/>
          <w:color w:val="000000"/>
          <w:sz w:val="32"/>
          <w:szCs w:val="32"/>
        </w:rPr>
        <w:t>**</w:t>
      </w:r>
      <w:r>
        <w:rPr>
          <w:rFonts w:hint="eastAsia" w:ascii="仿宋_GB2312" w:eastAsia="仿宋_GB2312"/>
          <w:color w:val="000000"/>
          <w:sz w:val="32"/>
          <w:szCs w:val="32"/>
        </w:rPr>
        <w:t>万人次。</w:t>
      </w:r>
    </w:p>
    <w:p>
      <w:pPr>
        <w:ind w:firstLine="643" w:firstLineChars="200"/>
        <w:rPr>
          <w:rFonts w:ascii="仿宋_GB2312" w:hAnsi="Times New Roman" w:eastAsia="仿宋_GB2312"/>
          <w:sz w:val="32"/>
          <w:szCs w:val="32"/>
        </w:rPr>
      </w:pPr>
      <w:r>
        <w:rPr>
          <w:rFonts w:hint="eastAsia" w:ascii="仿宋_GB2312" w:eastAsia="仿宋_GB2312" w:hAnsiTheme="minorEastAsia"/>
          <w:b/>
          <w:sz w:val="32"/>
          <w:szCs w:val="32"/>
        </w:rPr>
        <w:t>大力促进以创业带动就业。</w:t>
      </w:r>
      <w:r>
        <w:rPr>
          <w:rFonts w:hint="eastAsia" w:ascii="仿宋_GB2312" w:hAnsi="Times New Roman" w:eastAsia="仿宋_GB2312" w:cs="Times New Roman"/>
          <w:sz w:val="32"/>
          <w:szCs w:val="32"/>
        </w:rPr>
        <w:t>健全促进创业带动就业机制，</w:t>
      </w:r>
      <w:r>
        <w:rPr>
          <w:rFonts w:hint="eastAsia" w:ascii="仿宋_GB2312" w:eastAsia="仿宋_GB2312" w:hAnsiTheme="minorEastAsia"/>
          <w:sz w:val="32"/>
          <w:szCs w:val="32"/>
        </w:rPr>
        <w:t>进一步完善和落实创业担保贷款、财政贴息、税费减免等创业扶持政策，</w:t>
      </w:r>
      <w:r>
        <w:rPr>
          <w:rFonts w:hint="eastAsia" w:ascii="仿宋_GB2312" w:hAnsi="Times New Roman" w:eastAsia="仿宋_GB2312" w:cs="Times New Roman"/>
          <w:color w:val="000000" w:themeColor="text1"/>
          <w:sz w:val="32"/>
          <w:szCs w:val="32"/>
          <w14:textFill>
            <w14:solidFill>
              <w14:schemeClr w14:val="tx1"/>
            </w14:solidFill>
          </w14:textFill>
        </w:rPr>
        <w:t>大力培育“双创”示范基地、大学生创业园、专业化众创空间等一批创业孵化载体，</w:t>
      </w:r>
      <w:r>
        <w:rPr>
          <w:rFonts w:hint="eastAsia" w:ascii="仿宋_GB2312" w:eastAsia="仿宋_GB2312" w:hAnsiTheme="minorEastAsia"/>
          <w:sz w:val="32"/>
          <w:szCs w:val="32"/>
        </w:rPr>
        <w:t>建立创业服务平台和创业导师队伍，建设创业型城市</w:t>
      </w:r>
      <w:r>
        <w:rPr>
          <w:rFonts w:hint="eastAsia" w:ascii="仿宋_GB2312" w:eastAsia="仿宋_GB2312" w:cs="Times New Roman" w:hAnsiTheme="minorEastAsia"/>
          <w:sz w:val="32"/>
          <w:szCs w:val="32"/>
        </w:rPr>
        <w:t>。</w:t>
      </w:r>
      <w:r>
        <w:rPr>
          <w:rFonts w:hint="eastAsia" w:ascii="仿宋_GB2312" w:hAnsi="Times New Roman" w:eastAsia="仿宋_GB2312"/>
          <w:sz w:val="32"/>
          <w:szCs w:val="32"/>
        </w:rPr>
        <w:t>完善返乡创业扶持政策，引导城乡劳动者、大学生等人员返乡下乡创业。</w:t>
      </w:r>
    </w:p>
    <w:p>
      <w:pPr>
        <w:ind w:firstLine="643" w:firstLineChars="200"/>
        <w:rPr>
          <w:rFonts w:ascii="仿宋_GB2312" w:hAnsi="仿宋_GB2312" w:eastAsia="仿宋_GB2312" w:cs="仿宋_GB2312"/>
          <w:sz w:val="32"/>
          <w:szCs w:val="32"/>
        </w:rPr>
      </w:pPr>
      <w:r>
        <w:rPr>
          <w:rFonts w:hint="eastAsia" w:ascii="仿宋_GB2312" w:eastAsia="仿宋_GB2312" w:hAnsiTheme="minorEastAsia"/>
          <w:b/>
          <w:sz w:val="32"/>
          <w:szCs w:val="32"/>
        </w:rPr>
        <w:t>强化劳动权益保护。</w:t>
      </w:r>
      <w:r>
        <w:rPr>
          <w:rFonts w:hint="eastAsia" w:ascii="仿宋_GB2312" w:hAnsi="Times New Roman" w:eastAsia="仿宋_GB2312"/>
          <w:sz w:val="32"/>
          <w:szCs w:val="32"/>
        </w:rPr>
        <w:t>加强劳动者权益保障，健全最低工资标准增长机制和工资支付保障长效机制。深入推进</w:t>
      </w:r>
      <w:r>
        <w:rPr>
          <w:rFonts w:hint="eastAsia" w:ascii="仿宋_GB2312" w:hAnsi="仿宋_GB2312" w:eastAsia="仿宋_GB2312" w:cs="仿宋_GB2312"/>
          <w:sz w:val="32"/>
          <w:szCs w:val="32"/>
        </w:rPr>
        <w:t>“台州无欠薪”</w:t>
      </w:r>
      <w:r>
        <w:rPr>
          <w:rFonts w:hint="eastAsia" w:ascii="仿宋_GB2312" w:hAnsi="Times New Roman" w:eastAsia="仿宋_GB2312"/>
          <w:sz w:val="32"/>
          <w:szCs w:val="32"/>
        </w:rPr>
        <w:t>行动，实施制造业企业、工程建设项目等欠薪行为专项治理。构建面向全市的就业创业服务平台，推进公共就业服务全程信息化。</w:t>
      </w:r>
      <w:r>
        <w:rPr>
          <w:rFonts w:hint="eastAsia" w:ascii="仿宋_GB2312" w:hAnsi="仿宋_GB2312" w:eastAsia="仿宋_GB2312" w:cs="仿宋_GB2312"/>
          <w:sz w:val="32"/>
          <w:szCs w:val="32"/>
        </w:rPr>
        <w:t>提高劳动监察执法效能，健全劳动仲裁体制机制，加强农民工权益保障，完善劳动关系协调机制，协同推进劳动纠纷综合治理，构建和谐劳动关系。</w:t>
      </w:r>
    </w:p>
    <w:tbl>
      <w:tblPr>
        <w:tblStyle w:val="16"/>
        <w:tblW w:w="0" w:type="auto"/>
        <w:tblInd w:w="0" w:type="dxa"/>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shd w:val="clear" w:color="auto" w:fill="92CDDC" w:themeFill="accent5" w:themeFillTint="99"/>
          </w:tcPr>
          <w:p>
            <w:pPr>
              <w:rPr>
                <w:rFonts w:ascii="仿宋_GB2312" w:eastAsia="仿宋_GB2312" w:hAnsiTheme="minorEastAsia"/>
                <w:b/>
                <w:sz w:val="28"/>
                <w:szCs w:val="28"/>
              </w:rPr>
            </w:pPr>
            <w:r>
              <w:rPr>
                <w:rFonts w:hint="eastAsia" w:ascii="仿宋_GB2312" w:eastAsia="仿宋_GB2312" w:hAnsiTheme="minorEastAsia"/>
                <w:b/>
                <w:sz w:val="28"/>
                <w:szCs w:val="28"/>
              </w:rPr>
              <w:t xml:space="preserve">专栏1  </w:t>
            </w:r>
            <w:r>
              <w:rPr>
                <w:rFonts w:hint="eastAsia" w:ascii="仿宋_GB2312" w:hAnsi="Times New Roman" w:eastAsia="仿宋_GB2312" w:cs="Times New Roman"/>
                <w:b/>
                <w:color w:val="000000"/>
                <w:sz w:val="28"/>
                <w:szCs w:val="28"/>
              </w:rPr>
              <w:t>“1+1+1+N”高质量就业政策服务体系.</w:t>
            </w: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tcPr>
          <w:p>
            <w:pPr>
              <w:adjustRightInd w:val="0"/>
              <w:snapToGrid w:val="0"/>
              <w:spacing w:line="400" w:lineRule="exact"/>
              <w:ind w:firstLine="482" w:firstLineChars="200"/>
              <w:rPr>
                <w:rFonts w:ascii="仿宋_GB2312" w:hAnsi="宋体" w:eastAsia="仿宋_GB2312"/>
                <w:bCs/>
                <w:color w:val="000000"/>
                <w:sz w:val="24"/>
                <w:szCs w:val="24"/>
              </w:rPr>
            </w:pPr>
            <w:r>
              <w:rPr>
                <w:rFonts w:hint="eastAsia" w:ascii="仿宋_GB2312" w:hAnsi="宋体" w:eastAsia="仿宋_GB2312"/>
                <w:b/>
                <w:bCs/>
                <w:color w:val="000000"/>
                <w:sz w:val="24"/>
                <w:szCs w:val="24"/>
              </w:rPr>
              <w:t xml:space="preserve"> “一品”：</w:t>
            </w:r>
            <w:r>
              <w:rPr>
                <w:rFonts w:hint="eastAsia" w:ascii="仿宋_GB2312" w:hAnsi="宋体" w:eastAsia="仿宋_GB2312"/>
                <w:bCs/>
                <w:color w:val="000000"/>
                <w:sz w:val="24"/>
                <w:szCs w:val="24"/>
              </w:rPr>
              <w:t>全力打造台州就业服务品牌，以品牌统领整合各项服务措施，实现就业服务系统化迈进。</w:t>
            </w:r>
            <w:r>
              <w:rPr>
                <w:rFonts w:hint="eastAsia" w:ascii="仿宋_GB2312" w:hAnsi="宋体" w:eastAsia="仿宋_GB2312"/>
                <w:b/>
                <w:bCs/>
                <w:color w:val="000000"/>
                <w:sz w:val="24"/>
                <w:szCs w:val="24"/>
              </w:rPr>
              <w:t>“一码”：</w:t>
            </w:r>
            <w:r>
              <w:rPr>
                <w:rFonts w:hint="eastAsia" w:ascii="仿宋_GB2312" w:hAnsi="宋体" w:eastAsia="仿宋_GB2312"/>
                <w:bCs/>
                <w:color w:val="000000"/>
                <w:sz w:val="24"/>
                <w:szCs w:val="24"/>
              </w:rPr>
              <w:t>持续推进“就业创业码”功能提升，强化数据整合，不断扩大应用场景，进一步完善“码”上服务闭环生态，实现就业服务向智能化迈进。</w:t>
            </w:r>
            <w:r>
              <w:rPr>
                <w:rFonts w:hint="eastAsia" w:ascii="仿宋_GB2312" w:hAnsi="宋体" w:eastAsia="仿宋_GB2312"/>
                <w:b/>
                <w:bCs/>
                <w:color w:val="000000"/>
                <w:sz w:val="24"/>
                <w:szCs w:val="24"/>
              </w:rPr>
              <w:t>“一平台”：</w:t>
            </w:r>
            <w:r>
              <w:rPr>
                <w:rFonts w:hint="eastAsia" w:ascii="仿宋_GB2312" w:hAnsi="宋体" w:eastAsia="仿宋_GB2312"/>
                <w:bCs/>
                <w:color w:val="000000"/>
                <w:sz w:val="24"/>
                <w:szCs w:val="24"/>
              </w:rPr>
              <w:t>积极开展“台州智慧就业（招聘）平台”建设，打造汇集“就业求助、高校毕业生服务、共享用工（零工）、省际劳务合作、创业服务”功能的信息平台，与求助电话、服务站点“三位一体”畅通“稳就业、助用工”服务渠道，实现就业服务向精细化迈进。</w:t>
            </w:r>
            <w:r>
              <w:rPr>
                <w:rFonts w:hint="eastAsia" w:ascii="仿宋_GB2312" w:eastAsia="仿宋_GB2312"/>
                <w:b/>
                <w:bCs/>
                <w:color w:val="000000"/>
              </w:rPr>
              <w:t>“N”：</w:t>
            </w:r>
            <w:r>
              <w:rPr>
                <w:rFonts w:hint="eastAsia" w:ascii="仿宋_GB2312" w:eastAsia="仿宋_GB2312"/>
                <w:bCs/>
                <w:color w:val="000000"/>
              </w:rPr>
              <w:t>健全N项推进更加充分更高质量的就业促进机制。</w:t>
            </w:r>
          </w:p>
        </w:tc>
      </w:tr>
    </w:tbl>
    <w:p>
      <w:pPr>
        <w:spacing w:beforeLines="50"/>
        <w:ind w:firstLine="643" w:firstLineChars="200"/>
        <w:jc w:val="left"/>
        <w:outlineLvl w:val="2"/>
        <w:rPr>
          <w:rFonts w:ascii="仿宋_GB2312" w:eastAsia="仿宋_GB2312"/>
          <w:b/>
          <w:sz w:val="32"/>
          <w:szCs w:val="32"/>
        </w:rPr>
      </w:pPr>
      <w:bookmarkStart w:id="16" w:name="_Toc68980527"/>
      <w:bookmarkStart w:id="17" w:name="_Toc69259719"/>
      <w:r>
        <w:rPr>
          <w:rFonts w:hint="eastAsia" w:ascii="仿宋_GB2312" w:eastAsia="仿宋_GB2312"/>
          <w:b/>
          <w:sz w:val="32"/>
          <w:szCs w:val="32"/>
        </w:rPr>
        <w:t>2、完善持续增收的分配体系</w:t>
      </w:r>
      <w:bookmarkEnd w:id="16"/>
      <w:bookmarkEnd w:id="17"/>
    </w:p>
    <w:p>
      <w:pPr>
        <w:spacing w:line="592"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增强居民持续增收能力。</w:t>
      </w:r>
      <w:r>
        <w:rPr>
          <w:rFonts w:hint="eastAsia" w:ascii="仿宋_GB2312" w:eastAsia="仿宋_GB2312"/>
          <w:color w:val="000000"/>
          <w:sz w:val="32"/>
          <w:szCs w:val="32"/>
        </w:rPr>
        <w:t>健全科学的工资水平决定机制、正常增长机制、支付保障机制，根据经济运行情况定期发布工资指导线，建立与经济发展相适应的最低工资标准调整机制，稳妥推进企业工资集体协商制度。增加居民财产性收入和经营性收入，拓展居民租金、股息、分红等增收渠道。</w:t>
      </w:r>
    </w:p>
    <w:p>
      <w:pPr>
        <w:ind w:firstLine="643" w:firstLineChars="200"/>
        <w:jc w:val="left"/>
        <w:rPr>
          <w:rFonts w:ascii="仿宋_GB2312" w:eastAsia="仿宋_GB2312"/>
          <w:b/>
          <w:sz w:val="32"/>
          <w:szCs w:val="32"/>
        </w:rPr>
      </w:pPr>
      <w:r>
        <w:rPr>
          <w:rFonts w:hint="eastAsia" w:ascii="仿宋_GB2312" w:eastAsia="仿宋_GB2312"/>
          <w:b/>
          <w:color w:val="000000"/>
          <w:sz w:val="32"/>
          <w:szCs w:val="32"/>
        </w:rPr>
        <w:t>完善收入分配机制。</w:t>
      </w:r>
      <w:r>
        <w:rPr>
          <w:rFonts w:hint="eastAsia" w:ascii="仿宋_GB2312" w:eastAsia="仿宋_GB2312"/>
          <w:color w:val="000000"/>
          <w:sz w:val="32"/>
          <w:szCs w:val="32"/>
        </w:rPr>
        <w:t>深化收入分配制度改革，增加劳动者特别是一线劳动者劳动报酬，提高劳动报酬在初次分配中的比重，推动劳动报酬与劳动生产率提高同步。健全资本、土地、知识、技术、管理等各类生产要素由市场决定报酬的机制。落实和完善按要素分配正常制度，探索通过土地、资本等要素使用权、收益权增加低收入群体要素收入。实施低收入者群体同步基本实现现代化行动，持续推进低收入农户动态精准管理，设立扶贫救助基金，逐步缩小城乡居民之间的收入差距。持续扩大中等收入群体。完善再分配机制，合理调节过高收入，坚决取缔非法收入。发挥第三次分配作用，发展慈善事业，改善收入和财富分配格局。</w:t>
      </w:r>
    </w:p>
    <w:tbl>
      <w:tblPr>
        <w:tblStyle w:val="16"/>
        <w:tblW w:w="0" w:type="auto"/>
        <w:tblInd w:w="0" w:type="dxa"/>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shd w:val="clear" w:color="auto" w:fill="92CDDC" w:themeFill="accent5" w:themeFillTint="99"/>
          </w:tcPr>
          <w:p>
            <w:pPr>
              <w:rPr>
                <w:rFonts w:ascii="仿宋_GB2312" w:eastAsia="仿宋_GB2312" w:hAnsiTheme="minorEastAsia"/>
                <w:b/>
                <w:sz w:val="28"/>
                <w:szCs w:val="28"/>
              </w:rPr>
            </w:pPr>
            <w:r>
              <w:rPr>
                <w:rFonts w:hint="eastAsia" w:ascii="仿宋_GB2312" w:eastAsia="仿宋_GB2312" w:hAnsiTheme="minorEastAsia"/>
                <w:b/>
                <w:sz w:val="28"/>
                <w:szCs w:val="28"/>
              </w:rPr>
              <w:t xml:space="preserve">专栏2  </w:t>
            </w:r>
            <w:r>
              <w:rPr>
                <w:rFonts w:hint="eastAsia" w:ascii="仿宋_GB2312" w:hAnsi="Times New Roman" w:eastAsia="仿宋_GB2312" w:cs="Times New Roman"/>
                <w:b/>
                <w:color w:val="000000"/>
                <w:sz w:val="28"/>
                <w:szCs w:val="28"/>
              </w:rPr>
              <w:t>低收入群体增收重点工程（借鉴省里）</w:t>
            </w: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tcPr>
          <w:p>
            <w:pPr>
              <w:widowControl/>
              <w:spacing w:line="400" w:lineRule="exact"/>
              <w:ind w:firstLine="482" w:firstLineChars="200"/>
              <w:jc w:val="left"/>
              <w:rPr>
                <w:rFonts w:hint="eastAsia" w:ascii="仿宋_GB2312" w:hAnsi="宋体" w:eastAsia="仿宋_GB2312" w:cs="宋体"/>
                <w:kern w:val="0"/>
                <w:sz w:val="24"/>
                <w:szCs w:val="24"/>
              </w:rPr>
            </w:pPr>
            <w:r>
              <w:rPr>
                <w:rFonts w:hint="eastAsia" w:ascii="仿宋_GB2312" w:hAnsi="宋体" w:eastAsia="仿宋_GB2312" w:cs="宋体"/>
                <w:b/>
                <w:bCs/>
                <w:color w:val="000000"/>
                <w:kern w:val="0"/>
                <w:sz w:val="24"/>
                <w:szCs w:val="24"/>
              </w:rPr>
              <w:t>低收入群体同步基本实现现代化行动。</w:t>
            </w:r>
            <w:r>
              <w:rPr>
                <w:rFonts w:hint="eastAsia" w:ascii="仿宋_GB2312" w:hAnsi="宋体" w:eastAsia="仿宋_GB2312" w:cs="宋体"/>
                <w:color w:val="000000"/>
                <w:kern w:val="0"/>
                <w:sz w:val="24"/>
                <w:szCs w:val="24"/>
              </w:rPr>
              <w:t xml:space="preserve">探索建立先富帮后富、推动共同富裕体制机制。完善低收入群体动态精准管理，增强增收能力。加强城乡居民社会保障与救助制度的衔接，实现低收入群体医疗补充政策性保险全覆盖。 </w:t>
            </w:r>
          </w:p>
          <w:p>
            <w:pPr>
              <w:widowControl/>
              <w:spacing w:line="400" w:lineRule="exact"/>
              <w:ind w:firstLine="482" w:firstLineChars="200"/>
              <w:jc w:val="left"/>
              <w:rPr>
                <w:rFonts w:hint="eastAsia" w:ascii="仿宋_GB2312" w:hAnsi="宋体" w:eastAsia="仿宋_GB2312" w:cs="宋体"/>
                <w:kern w:val="0"/>
                <w:sz w:val="24"/>
                <w:szCs w:val="24"/>
              </w:rPr>
            </w:pPr>
            <w:r>
              <w:rPr>
                <w:rFonts w:hint="eastAsia" w:ascii="仿宋_GB2312" w:hAnsi="宋体" w:eastAsia="仿宋_GB2312" w:cs="宋体"/>
                <w:b/>
                <w:bCs/>
                <w:color w:val="000000"/>
                <w:kern w:val="0"/>
                <w:sz w:val="24"/>
                <w:szCs w:val="24"/>
              </w:rPr>
              <w:t>农民收入新增万元行动。</w:t>
            </w:r>
            <w:r>
              <w:rPr>
                <w:rFonts w:hint="eastAsia" w:ascii="仿宋_GB2312" w:hAnsi="宋体" w:eastAsia="仿宋_GB2312" w:cs="宋体"/>
                <w:color w:val="000000"/>
                <w:kern w:val="0"/>
                <w:sz w:val="24"/>
                <w:szCs w:val="24"/>
              </w:rPr>
              <w:t xml:space="preserve">引导农民通过创业、就业、经营、持股增加收入，到 </w:t>
            </w:r>
            <w:r>
              <w:rPr>
                <w:rFonts w:hint="eastAsia" w:ascii="仿宋_GB2312" w:hAnsi="Times New Roman" w:eastAsia="仿宋_GB2312" w:cs="Times New Roman"/>
                <w:color w:val="000000"/>
                <w:kern w:val="0"/>
                <w:sz w:val="24"/>
                <w:szCs w:val="24"/>
              </w:rPr>
              <w:t xml:space="preserve">2025 </w:t>
            </w:r>
            <w:r>
              <w:rPr>
                <w:rFonts w:hint="eastAsia" w:ascii="仿宋_GB2312" w:hAnsi="宋体" w:eastAsia="仿宋_GB2312" w:cs="宋体"/>
                <w:color w:val="000000"/>
                <w:kern w:val="0"/>
                <w:sz w:val="24"/>
                <w:szCs w:val="24"/>
              </w:rPr>
              <w:t xml:space="preserve">年全市农村居民人均可支配收入比 </w:t>
            </w:r>
            <w:r>
              <w:rPr>
                <w:rFonts w:hint="eastAsia" w:ascii="仿宋_GB2312" w:hAnsi="Times New Roman" w:eastAsia="仿宋_GB2312" w:cs="Times New Roman"/>
                <w:color w:val="000000"/>
                <w:kern w:val="0"/>
                <w:sz w:val="24"/>
                <w:szCs w:val="24"/>
              </w:rPr>
              <w:t xml:space="preserve">2020 </w:t>
            </w:r>
            <w:r>
              <w:rPr>
                <w:rFonts w:hint="eastAsia" w:ascii="仿宋_GB2312" w:hAnsi="宋体" w:eastAsia="仿宋_GB2312" w:cs="宋体"/>
                <w:color w:val="000000"/>
                <w:kern w:val="0"/>
                <w:sz w:val="24"/>
                <w:szCs w:val="24"/>
              </w:rPr>
              <w:t>年增加</w:t>
            </w:r>
            <w:r>
              <w:rPr>
                <w:rFonts w:hint="eastAsia" w:ascii="仿宋_GB2312" w:hAnsi="Times New Roman" w:eastAsia="仿宋_GB2312" w:cs="Times New Roman"/>
                <w:color w:val="000000"/>
                <w:kern w:val="0"/>
                <w:sz w:val="24"/>
                <w:szCs w:val="24"/>
              </w:rPr>
              <w:t>1</w:t>
            </w:r>
            <w:r>
              <w:rPr>
                <w:rFonts w:hint="eastAsia" w:ascii="仿宋_GB2312" w:hAnsi="宋体" w:eastAsia="仿宋_GB2312" w:cs="宋体"/>
                <w:color w:val="000000"/>
                <w:kern w:val="0"/>
                <w:sz w:val="24"/>
                <w:szCs w:val="24"/>
              </w:rPr>
              <w:t xml:space="preserve">万元以上。 </w:t>
            </w:r>
          </w:p>
          <w:p>
            <w:pPr>
              <w:widowControl/>
              <w:spacing w:line="400" w:lineRule="exact"/>
              <w:ind w:firstLine="482" w:firstLineChars="200"/>
              <w:jc w:val="left"/>
              <w:rPr>
                <w:rFonts w:hint="eastAsia" w:ascii="仿宋_GB2312" w:hAnsi="宋体" w:eastAsia="仿宋_GB2312" w:cs="宋体"/>
                <w:color w:val="000000"/>
                <w:kern w:val="0"/>
                <w:sz w:val="24"/>
                <w:szCs w:val="24"/>
              </w:rPr>
            </w:pPr>
            <w:r>
              <w:rPr>
                <w:rFonts w:hint="eastAsia" w:ascii="仿宋_GB2312" w:hAnsi="宋体" w:eastAsia="仿宋_GB2312" w:cs="宋体"/>
                <w:b/>
                <w:bCs/>
                <w:color w:val="000000"/>
                <w:kern w:val="0"/>
                <w:sz w:val="24"/>
                <w:szCs w:val="24"/>
              </w:rPr>
              <w:t>慈善公益行动。</w:t>
            </w:r>
            <w:r>
              <w:rPr>
                <w:rFonts w:hint="eastAsia" w:ascii="仿宋_GB2312" w:hAnsi="Times New Roman" w:eastAsia="仿宋_GB2312" w:cs="Times New Roman"/>
                <w:sz w:val="24"/>
                <w:szCs w:val="24"/>
              </w:rPr>
              <w:t>发展市、县两级慈善基地，</w:t>
            </w:r>
            <w:r>
              <w:rPr>
                <w:rFonts w:hint="eastAsia" w:ascii="仿宋_GB2312" w:hAnsi="宋体" w:eastAsia="仿宋_GB2312" w:cs="宋体"/>
                <w:color w:val="000000"/>
                <w:kern w:val="0"/>
                <w:sz w:val="24"/>
                <w:szCs w:val="24"/>
              </w:rPr>
              <w:t xml:space="preserve">引导慈善资源合理流动，推动慈善文化建设。规范发展互联网慈善，加大对互联网慈善的引导支持力度。加强慈善组织队伍建设，建立专业化和职业化的慈善组织团队。 </w:t>
            </w:r>
          </w:p>
          <w:p>
            <w:pPr>
              <w:widowControl/>
              <w:spacing w:line="400" w:lineRule="exact"/>
              <w:ind w:firstLine="482" w:firstLineChars="200"/>
              <w:jc w:val="left"/>
              <w:rPr>
                <w:rFonts w:hint="eastAsia" w:ascii="仿宋_GB2312" w:hAnsi="宋体" w:eastAsia="仿宋_GB2312" w:cs="宋体"/>
                <w:kern w:val="0"/>
                <w:sz w:val="24"/>
                <w:szCs w:val="24"/>
              </w:rPr>
            </w:pPr>
            <w:r>
              <w:rPr>
                <w:rFonts w:hint="eastAsia" w:ascii="仿宋_GB2312" w:hAnsi="宋体" w:eastAsia="仿宋_GB2312" w:cs="宋体"/>
                <w:b/>
                <w:bCs/>
                <w:color w:val="000000"/>
                <w:kern w:val="0"/>
                <w:sz w:val="24"/>
                <w:szCs w:val="24"/>
              </w:rPr>
              <w:t>山区产业扩大税源行动。</w:t>
            </w:r>
            <w:r>
              <w:rPr>
                <w:rFonts w:hint="eastAsia" w:ascii="仿宋_GB2312" w:hAnsi="宋体" w:eastAsia="仿宋_GB2312" w:cs="宋体"/>
                <w:color w:val="000000"/>
                <w:kern w:val="0"/>
                <w:sz w:val="24"/>
                <w:szCs w:val="24"/>
              </w:rPr>
              <w:t>加快改善山区交通条件，实施</w:t>
            </w:r>
            <w:r>
              <w:rPr>
                <w:rFonts w:hint="eastAsia" w:ascii="仿宋_GB2312" w:hAnsi="Times New Roman" w:eastAsia="仿宋_GB2312" w:cs="Times New Roman"/>
                <w:color w:val="000000"/>
                <w:kern w:val="0"/>
                <w:sz w:val="24"/>
                <w:szCs w:val="24"/>
              </w:rPr>
              <w:t>“</w:t>
            </w:r>
            <w:r>
              <w:rPr>
                <w:rFonts w:hint="eastAsia" w:ascii="仿宋_GB2312" w:hAnsi="宋体" w:eastAsia="仿宋_GB2312" w:cs="宋体"/>
                <w:color w:val="000000"/>
                <w:kern w:val="0"/>
                <w:sz w:val="24"/>
                <w:szCs w:val="24"/>
              </w:rPr>
              <w:t>四好农村路</w:t>
            </w:r>
            <w:r>
              <w:rPr>
                <w:rFonts w:hint="eastAsia" w:ascii="仿宋_GB2312" w:hAnsi="Times New Roman" w:eastAsia="仿宋_GB2312" w:cs="Times New Roman"/>
                <w:color w:val="000000"/>
                <w:kern w:val="0"/>
                <w:sz w:val="24"/>
                <w:szCs w:val="24"/>
              </w:rPr>
              <w:t>”</w:t>
            </w:r>
            <w:r>
              <w:rPr>
                <w:rFonts w:hint="eastAsia" w:ascii="仿宋_GB2312" w:hAnsi="宋体" w:eastAsia="仿宋_GB2312" w:cs="宋体"/>
                <w:color w:val="000000"/>
                <w:kern w:val="0"/>
                <w:sz w:val="24"/>
                <w:szCs w:val="24"/>
              </w:rPr>
              <w:t xml:space="preserve">连心工程，招引一批重大项目，做优做强绿色产业，开展生态工业试点，大力发展山区优势产业和支柱产业，增强山区内生发展动力。 </w:t>
            </w:r>
          </w:p>
          <w:p>
            <w:pPr>
              <w:widowControl/>
              <w:spacing w:line="400" w:lineRule="exact"/>
              <w:ind w:firstLine="482" w:firstLineChars="200"/>
              <w:jc w:val="left"/>
              <w:rPr>
                <w:rFonts w:ascii="仿宋_GB2312" w:hAnsi="宋体" w:eastAsia="仿宋_GB2312"/>
                <w:bCs/>
                <w:color w:val="000000"/>
                <w:sz w:val="24"/>
                <w:szCs w:val="24"/>
              </w:rPr>
            </w:pPr>
            <w:r>
              <w:rPr>
                <w:rFonts w:hint="eastAsia" w:ascii="仿宋_GB2312" w:hAnsi="宋体" w:eastAsia="仿宋_GB2312" w:cs="宋体"/>
                <w:b/>
                <w:bCs/>
                <w:color w:val="000000"/>
                <w:kern w:val="0"/>
                <w:sz w:val="24"/>
                <w:szCs w:val="24"/>
              </w:rPr>
              <w:t>提升山区居民收入富民行动。</w:t>
            </w:r>
            <w:r>
              <w:rPr>
                <w:rFonts w:hint="eastAsia" w:ascii="仿宋_GB2312" w:hAnsi="宋体" w:eastAsia="仿宋_GB2312" w:cs="宋体"/>
                <w:color w:val="000000"/>
                <w:kern w:val="0"/>
                <w:sz w:val="24"/>
                <w:szCs w:val="24"/>
              </w:rPr>
              <w:t>大力发展休闲旅游业、特色民宿、生态农业等富民经济，以</w:t>
            </w:r>
            <w:r>
              <w:rPr>
                <w:rFonts w:hint="eastAsia" w:ascii="仿宋_GB2312" w:hAnsi="Times New Roman" w:eastAsia="仿宋_GB2312" w:cs="Times New Roman"/>
                <w:color w:val="000000"/>
                <w:kern w:val="0"/>
                <w:sz w:val="24"/>
                <w:szCs w:val="24"/>
              </w:rPr>
              <w:t>“</w:t>
            </w:r>
            <w:r>
              <w:rPr>
                <w:rFonts w:hint="eastAsia" w:ascii="仿宋_GB2312" w:hAnsi="宋体" w:eastAsia="仿宋_GB2312" w:cs="宋体"/>
                <w:color w:val="000000"/>
                <w:kern w:val="0"/>
                <w:sz w:val="24"/>
                <w:szCs w:val="24"/>
              </w:rPr>
              <w:t>绿起来</w:t>
            </w:r>
            <w:r>
              <w:rPr>
                <w:rFonts w:hint="eastAsia" w:ascii="仿宋_GB2312" w:hAnsi="Times New Roman" w:eastAsia="仿宋_GB2312" w:cs="Times New Roman"/>
                <w:color w:val="000000"/>
                <w:kern w:val="0"/>
                <w:sz w:val="24"/>
                <w:szCs w:val="24"/>
              </w:rPr>
              <w:t>”</w:t>
            </w:r>
            <w:r>
              <w:rPr>
                <w:rFonts w:hint="eastAsia" w:ascii="仿宋_GB2312" w:hAnsi="宋体" w:eastAsia="仿宋_GB2312" w:cs="宋体"/>
                <w:color w:val="000000"/>
                <w:kern w:val="0"/>
                <w:sz w:val="24"/>
                <w:szCs w:val="24"/>
              </w:rPr>
              <w:t>带动</w:t>
            </w:r>
            <w:r>
              <w:rPr>
                <w:rFonts w:hint="eastAsia" w:ascii="仿宋_GB2312" w:hAnsi="Times New Roman" w:eastAsia="仿宋_GB2312" w:cs="Times New Roman"/>
                <w:color w:val="000000"/>
                <w:kern w:val="0"/>
                <w:sz w:val="24"/>
                <w:szCs w:val="24"/>
              </w:rPr>
              <w:t>“</w:t>
            </w:r>
            <w:r>
              <w:rPr>
                <w:rFonts w:hint="eastAsia" w:ascii="仿宋_GB2312" w:hAnsi="宋体" w:eastAsia="仿宋_GB2312" w:cs="宋体"/>
                <w:color w:val="000000"/>
                <w:kern w:val="0"/>
                <w:sz w:val="24"/>
                <w:szCs w:val="24"/>
              </w:rPr>
              <w:t>富起来</w:t>
            </w:r>
            <w:r>
              <w:rPr>
                <w:rFonts w:hint="eastAsia" w:ascii="仿宋_GB2312" w:hAnsi="Times New Roman" w:eastAsia="仿宋_GB2312" w:cs="Times New Roman"/>
                <w:color w:val="000000"/>
                <w:kern w:val="0"/>
                <w:sz w:val="24"/>
                <w:szCs w:val="24"/>
              </w:rPr>
              <w:t>”</w:t>
            </w:r>
            <w:r>
              <w:rPr>
                <w:rFonts w:hint="eastAsia" w:ascii="仿宋_GB2312" w:hAnsi="宋体" w:eastAsia="仿宋_GB2312" w:cs="宋体"/>
                <w:color w:val="000000"/>
                <w:kern w:val="0"/>
                <w:sz w:val="24"/>
                <w:szCs w:val="24"/>
              </w:rPr>
              <w:t>实现</w:t>
            </w:r>
            <w:r>
              <w:rPr>
                <w:rFonts w:hint="eastAsia" w:ascii="仿宋_GB2312" w:hAnsi="Times New Roman" w:eastAsia="仿宋_GB2312" w:cs="Times New Roman"/>
                <w:color w:val="000000"/>
                <w:kern w:val="0"/>
                <w:sz w:val="24"/>
                <w:szCs w:val="24"/>
              </w:rPr>
              <w:t>“</w:t>
            </w:r>
            <w:r>
              <w:rPr>
                <w:rFonts w:hint="eastAsia" w:ascii="仿宋_GB2312" w:hAnsi="宋体" w:eastAsia="仿宋_GB2312" w:cs="宋体"/>
                <w:color w:val="000000"/>
                <w:kern w:val="0"/>
                <w:sz w:val="24"/>
                <w:szCs w:val="24"/>
              </w:rPr>
              <w:t>强起来</w:t>
            </w:r>
            <w:r>
              <w:rPr>
                <w:rFonts w:hint="eastAsia" w:ascii="仿宋_GB2312" w:hAnsi="Times New Roman" w:eastAsia="仿宋_GB2312" w:cs="Times New Roman"/>
                <w:color w:val="000000"/>
                <w:kern w:val="0"/>
                <w:sz w:val="24"/>
                <w:szCs w:val="24"/>
              </w:rPr>
              <w:t>”</w:t>
            </w:r>
            <w:r>
              <w:rPr>
                <w:rFonts w:hint="eastAsia" w:ascii="仿宋_GB2312" w:hAnsi="宋体" w:eastAsia="仿宋_GB2312" w:cs="宋体"/>
                <w:color w:val="000000"/>
                <w:kern w:val="0"/>
                <w:sz w:val="24"/>
                <w:szCs w:val="24"/>
              </w:rPr>
              <w:t>。</w:t>
            </w:r>
          </w:p>
        </w:tc>
      </w:tr>
    </w:tbl>
    <w:p>
      <w:pPr>
        <w:spacing w:beforeLines="50"/>
        <w:ind w:firstLine="643" w:firstLineChars="200"/>
        <w:jc w:val="left"/>
        <w:outlineLvl w:val="1"/>
        <w:rPr>
          <w:rFonts w:ascii="仿宋_GB2312" w:eastAsia="仿宋_GB2312"/>
          <w:b/>
          <w:sz w:val="32"/>
          <w:szCs w:val="32"/>
        </w:rPr>
      </w:pPr>
      <w:bookmarkStart w:id="18" w:name="_Toc69259720"/>
      <w:bookmarkStart w:id="19" w:name="_Toc68980528"/>
      <w:r>
        <w:rPr>
          <w:rFonts w:hint="eastAsia" w:ascii="仿宋_GB2312" w:eastAsia="仿宋_GB2312"/>
          <w:b/>
          <w:sz w:val="32"/>
          <w:szCs w:val="32"/>
        </w:rPr>
        <w:t>（二）社会事业“惠民”行动</w:t>
      </w:r>
      <w:bookmarkEnd w:id="18"/>
      <w:bookmarkEnd w:id="19"/>
    </w:p>
    <w:p>
      <w:pPr>
        <w:ind w:firstLine="640" w:firstLineChars="200"/>
        <w:rPr>
          <w:rFonts w:ascii="仿宋_GB2312" w:eastAsia="仿宋_GB2312"/>
          <w:sz w:val="32"/>
          <w:szCs w:val="32"/>
        </w:rPr>
      </w:pPr>
      <w:r>
        <w:rPr>
          <w:rFonts w:hint="eastAsia" w:ascii="仿宋_GB2312" w:eastAsia="仿宋_GB2312"/>
          <w:sz w:val="32"/>
          <w:szCs w:val="32"/>
        </w:rPr>
        <w:t>秉承“惠民”理念，以扩大规模、提高质量、促进公平为着力点，大力实施幸福民生工程，推进教育、卫生、文化、体育等社会事业大发展，努力建立与现代化建设需要相适应相匹配的社会公共服务体系。</w:t>
      </w:r>
    </w:p>
    <w:p>
      <w:pPr>
        <w:ind w:firstLine="643" w:firstLineChars="200"/>
        <w:outlineLvl w:val="2"/>
        <w:rPr>
          <w:rFonts w:ascii="仿宋_GB2312" w:hAnsi="Times New Roman" w:eastAsia="仿宋_GB2312" w:cs="Times New Roman"/>
          <w:b/>
          <w:sz w:val="32"/>
          <w:szCs w:val="32"/>
        </w:rPr>
      </w:pPr>
      <w:bookmarkStart w:id="20" w:name="_Toc68980529"/>
      <w:bookmarkStart w:id="21" w:name="_Toc69259721"/>
      <w:r>
        <w:rPr>
          <w:rFonts w:hint="eastAsia" w:ascii="仿宋_GB2312" w:hAnsi="Times New Roman" w:eastAsia="仿宋_GB2312" w:cs="Times New Roman"/>
          <w:b/>
          <w:sz w:val="32"/>
          <w:szCs w:val="32"/>
        </w:rPr>
        <w:t>1、建设优质公平教育体系</w:t>
      </w:r>
      <w:bookmarkEnd w:id="20"/>
      <w:bookmarkEnd w:id="21"/>
    </w:p>
    <w:p>
      <w:pPr>
        <w:ind w:firstLine="643" w:firstLineChars="200"/>
        <w:rPr>
          <w:rFonts w:ascii="仿宋_GB2312" w:hAnsi="Calibri" w:eastAsia="仿宋_GB2312" w:cs="Times New Roman"/>
          <w:sz w:val="32"/>
          <w:szCs w:val="32"/>
        </w:rPr>
      </w:pPr>
      <w:r>
        <w:rPr>
          <w:rFonts w:hint="eastAsia" w:ascii="仿宋_GB2312" w:eastAsia="仿宋_GB2312"/>
          <w:b/>
          <w:sz w:val="32"/>
          <w:szCs w:val="32"/>
        </w:rPr>
        <w:t>推进学前教育公益普惠。</w:t>
      </w:r>
      <w:r>
        <w:rPr>
          <w:rFonts w:hint="eastAsia" w:ascii="仿宋_GB2312" w:eastAsia="仿宋_GB2312"/>
          <w:color w:val="000000"/>
          <w:sz w:val="32"/>
          <w:szCs w:val="32"/>
        </w:rPr>
        <w:t>全力推进学前教育“扩容提质”改革行动，谋划实施学前教育发展第四轮三年行动计划，重点加强公办幼儿园、普惠性民办幼儿园和幼儿园标准化建设，推进国家学前教育普及普惠县创建，力争全域创成学前教育普及普惠市。到2025年，实现乡镇公办幼儿园全覆盖。</w:t>
      </w:r>
      <w:r>
        <w:rPr>
          <w:rFonts w:ascii="仿宋_GB2312" w:hAnsi="Calibri" w:eastAsia="仿宋_GB2312" w:cs="Times New Roman"/>
          <w:sz w:val="32"/>
          <w:szCs w:val="32"/>
        </w:rPr>
        <w:t xml:space="preserve"> </w:t>
      </w:r>
    </w:p>
    <w:p>
      <w:pPr>
        <w:ind w:firstLine="643" w:firstLineChars="200"/>
        <w:rPr>
          <w:rFonts w:ascii="仿宋_GB2312" w:hAnsi="Times New Roman" w:eastAsia="仿宋_GB2312" w:cs="Times New Roman"/>
          <w:sz w:val="32"/>
          <w:szCs w:val="32"/>
        </w:rPr>
      </w:pPr>
      <w:r>
        <w:rPr>
          <w:rFonts w:hint="eastAsia" w:ascii="仿宋_GB2312" w:eastAsia="仿宋_GB2312"/>
          <w:b/>
          <w:sz w:val="32"/>
          <w:szCs w:val="32"/>
        </w:rPr>
        <w:t>均衡优质发展义务教育。</w:t>
      </w:r>
      <w:r>
        <w:rPr>
          <w:rFonts w:hint="eastAsia" w:ascii="仿宋_GB2312" w:hAnsi="Times New Roman" w:eastAsia="仿宋_GB2312" w:cs="Times New Roman"/>
          <w:sz w:val="32"/>
          <w:szCs w:val="32"/>
        </w:rPr>
        <w:t>实施义务教育“强势崛起”改革行动，到2025年义务教育质量进入全省第二方阵前列。实施小学培智赋能计划、初中崛起行动，持续推进义务教育标准化学校建设。推行“名校+新校”“名校+弱校”、“名校+分校”等办学模式，扩大优质教育覆盖面。开展乡村名校建设，探索建立义务教育校际协作机制，推进“互联网+义务教育”城乡结对帮扶实现全覆盖。实施随迁子女教育“蓝天教育”改革行动，加大公办随迁子女学校新建和改扩建力度，大幅增加随迁子女义务教育公办学位供给。实施特殊教育优质融合行动，优化市区学校资源布局，推进标准化学校创建。</w:t>
      </w:r>
    </w:p>
    <w:p>
      <w:pPr>
        <w:ind w:firstLine="643" w:firstLineChars="200"/>
        <w:rPr>
          <w:rFonts w:ascii="仿宋_GB2312" w:hAnsi="Times New Roman" w:eastAsia="仿宋_GB2312" w:cs="Times New Roman"/>
          <w:sz w:val="32"/>
          <w:szCs w:val="32"/>
        </w:rPr>
      </w:pPr>
      <w:r>
        <w:rPr>
          <w:rFonts w:hint="eastAsia" w:ascii="仿宋_GB2312" w:eastAsia="仿宋_GB2312"/>
          <w:b/>
          <w:sz w:val="32"/>
          <w:szCs w:val="32"/>
        </w:rPr>
        <w:t>内涵发展普通高中教育。</w:t>
      </w:r>
      <w:r>
        <w:rPr>
          <w:rFonts w:hint="eastAsia" w:ascii="仿宋_GB2312" w:hAnsi="Times New Roman" w:eastAsia="仿宋_GB2312" w:cs="Times New Roman"/>
          <w:sz w:val="32"/>
          <w:szCs w:val="32"/>
        </w:rPr>
        <w:t>实施普通高中“品质提升”行动，加强薄弱高中改造提升和优质高中建设，扩大高中优质资源。推进普通高中分类办学、特色发展，创成一批办学特色遍及科技、人文、体艺、综合等多领域现代化普通高中学校，争创省级试点区和试点学校。启动实施市直高中“固本强基”改革行动，制定出台《进一步提升市直高中办学质量，构筑市区教育最高地的若干意见》，开展市区教研共同体建设，提高市区教育首位度。</w:t>
      </w:r>
    </w:p>
    <w:p>
      <w:pPr>
        <w:ind w:firstLine="643" w:firstLineChars="200"/>
        <w:rPr>
          <w:rFonts w:ascii="仿宋_GB2312" w:hAnsi="Times New Roman" w:eastAsia="仿宋_GB2312" w:cs="Times New Roman"/>
          <w:sz w:val="32"/>
          <w:szCs w:val="32"/>
        </w:rPr>
      </w:pPr>
      <w:r>
        <w:rPr>
          <w:rFonts w:hint="eastAsia" w:ascii="仿宋_GB2312" w:eastAsia="仿宋_GB2312"/>
          <w:b/>
          <w:sz w:val="32"/>
          <w:szCs w:val="32"/>
        </w:rPr>
        <w:t>加快发展特色职业教育。</w:t>
      </w:r>
      <w:r>
        <w:rPr>
          <w:rFonts w:hint="eastAsia" w:ascii="仿宋_GB2312" w:hAnsi="Times New Roman" w:eastAsia="仿宋_GB2312" w:cs="Times New Roman"/>
          <w:sz w:val="32"/>
          <w:szCs w:val="32"/>
        </w:rPr>
        <w:t>实施职业教育“提质培优”改革行动，加快温台职业教育创新高地建设国家级试点，争创国家级“产教融合”试点城市，打造全国职业教育“台州样本”。</w:t>
      </w:r>
      <w:r>
        <w:rPr>
          <w:rFonts w:hint="eastAsia" w:ascii="仿宋_GB2312" w:hAnsi="宋体" w:eastAsia="仿宋_GB2312" w:cs="宋体"/>
          <w:color w:val="000000"/>
          <w:kern w:val="0"/>
          <w:sz w:val="32"/>
          <w:szCs w:val="32"/>
        </w:rPr>
        <w:t>组织实施产教融合</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五个一批</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建设，促进教育链、人才链与创新链、产业链有机融合。</w:t>
      </w:r>
      <w:r>
        <w:rPr>
          <w:rFonts w:hint="eastAsia" w:ascii="仿宋_GB2312" w:hAnsi="Times New Roman" w:eastAsia="仿宋_GB2312" w:cs="Times New Roman"/>
          <w:sz w:val="32"/>
          <w:szCs w:val="32"/>
        </w:rPr>
        <w:t>实施职业教育“伴随计划”，深化民营企业深度参与职业教育改革，鼓励企业和公办高职院校合作举办混合所有制二级学院（校），支持行业、企业与院校组建职业教育集团、专业教学联盟等。加快推进台州湾新区现代职业教育园区建设，积极创建国家、省职业院校“双高计划”。支持台州职业技术学院、台州科技职业学院等高职院校升格为“职业大学”。</w:t>
      </w:r>
    </w:p>
    <w:tbl>
      <w:tblPr>
        <w:tblStyle w:val="16"/>
        <w:tblW w:w="0" w:type="auto"/>
        <w:tblInd w:w="0" w:type="dxa"/>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shd w:val="clear" w:color="auto" w:fill="92CDDC" w:themeFill="accent5" w:themeFillTint="99"/>
          </w:tcPr>
          <w:p>
            <w:pPr>
              <w:rPr>
                <w:rFonts w:ascii="仿宋_GB2312" w:eastAsia="仿宋_GB2312" w:hAnsiTheme="minorEastAsia"/>
                <w:b/>
                <w:sz w:val="28"/>
                <w:szCs w:val="28"/>
              </w:rPr>
            </w:pPr>
            <w:r>
              <w:rPr>
                <w:rFonts w:hint="eastAsia" w:ascii="仿宋_GB2312" w:eastAsia="仿宋_GB2312" w:hAnsiTheme="minorEastAsia"/>
                <w:b/>
                <w:sz w:val="28"/>
                <w:szCs w:val="28"/>
              </w:rPr>
              <w:t>专栏3  产业融合重点工程建设</w:t>
            </w: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tcPr>
          <w:p>
            <w:pPr>
              <w:adjustRightInd w:val="0"/>
              <w:snapToGrid w:val="0"/>
              <w:spacing w:line="40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到2025年，</w:t>
            </w:r>
            <w:r>
              <w:rPr>
                <w:rFonts w:hint="eastAsia" w:ascii="仿宋_GB2312" w:hAnsi="微软雅黑" w:eastAsia="仿宋_GB2312"/>
                <w:sz w:val="24"/>
              </w:rPr>
              <w:t>建成国家、省示范性职教集团或联盟（家）3-5家，产教融合联盟10个，产教融合示范基地/高水平公共实习实训平台20个，产教融合试点企业30家，产教协同育人项目30个、产教融合工程项目40个，混合所有制办学项目30个，规上企业参与职教比例达到85%。</w:t>
            </w:r>
          </w:p>
        </w:tc>
      </w:tr>
    </w:tbl>
    <w:p>
      <w:pPr>
        <w:ind w:firstLine="643" w:firstLineChars="200"/>
        <w:rPr>
          <w:rFonts w:ascii="仿宋_GB2312" w:hAnsi="Times New Roman" w:eastAsia="仿宋_GB2312" w:cs="Times New Roman"/>
          <w:sz w:val="32"/>
          <w:szCs w:val="32"/>
        </w:rPr>
      </w:pPr>
      <w:r>
        <w:rPr>
          <w:rFonts w:hint="eastAsia" w:ascii="仿宋_GB2312" w:eastAsia="仿宋_GB2312"/>
          <w:b/>
          <w:sz w:val="32"/>
          <w:szCs w:val="32"/>
        </w:rPr>
        <w:t>创新发展高等应用教育。</w:t>
      </w:r>
      <w:r>
        <w:rPr>
          <w:rFonts w:hint="eastAsia" w:ascii="仿宋_GB2312" w:hAnsi="Times New Roman" w:eastAsia="仿宋_GB2312" w:cs="Times New Roman"/>
          <w:sz w:val="32"/>
          <w:szCs w:val="32"/>
        </w:rPr>
        <w:t>全面贯彻落实市委、市政府《关于推动高等教育跨越式高质量发展的若干意见》，加大高校重要领域和重大项目投入，推进市直普通高校建设。推进高等教育扩容提质，重点支持台州学院按照“申硕、升格、创一流”三步走路线图建设一流应用型大学，支持台州电大创建全省一流开放大学。围绕服务本地产业集群，力争着力打造1-2个国家级一流学科专业，在省级一流学科申报上实现新突破。谋求引进“双一流”高校来台州设立分校，及引进境外优质教育资源举办高水平中外合作大学。</w:t>
      </w:r>
    </w:p>
    <w:p>
      <w:pPr>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健全发展终身教育。</w:t>
      </w:r>
      <w:r>
        <w:rPr>
          <w:rFonts w:hint="eastAsia" w:ascii="仿宋_GB2312" w:hAnsi="Times New Roman" w:eastAsia="仿宋_GB2312" w:cs="Times New Roman"/>
          <w:sz w:val="32"/>
          <w:szCs w:val="32"/>
        </w:rPr>
        <w:t>统筹利用各类职业教育资源，建成“市、区、街道、社区”四级“立体化、全覆盖”的社区教育网络，鼓励向多种社会群体开展形式多样的继续教育、老年教育，健全服务全民终身学习的教育制度。促进各类学习资源开放共享。建立多种形式学习成果认定转换机制，创新高等教育自学考试学分认定和转换方式，有序开展学历证书和职业技能等级证书所体现学习成果的认定、积累和转换，构建适应终身教育学习转换通道。</w:t>
      </w:r>
    </w:p>
    <w:tbl>
      <w:tblPr>
        <w:tblStyle w:val="16"/>
        <w:tblW w:w="0" w:type="auto"/>
        <w:tblInd w:w="0" w:type="dxa"/>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shd w:val="clear" w:color="auto" w:fill="92CDDC" w:themeFill="accent5" w:themeFillTint="99"/>
            <w:vAlign w:val="center"/>
          </w:tcPr>
          <w:p>
            <w:pPr>
              <w:spacing w:line="580" w:lineRule="exact"/>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专栏4：教育体系建设重点工程</w:t>
            </w: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tcPr>
          <w:p>
            <w:pPr>
              <w:spacing w:line="400" w:lineRule="exact"/>
              <w:ind w:firstLine="482" w:firstLineChars="200"/>
              <w:jc w:val="left"/>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学前教育“扩容提质”工程。</w:t>
            </w:r>
            <w:r>
              <w:rPr>
                <w:rFonts w:hint="eastAsia" w:ascii="仿宋_GB2312" w:hAnsi="Times New Roman" w:eastAsia="仿宋_GB2312" w:cs="Times New Roman"/>
                <w:sz w:val="24"/>
                <w:szCs w:val="24"/>
              </w:rPr>
              <w:t>计划投资50亿元。切实履行学前教育发展主题责任，实现乡镇公办幼儿园全覆盖，确保公办幼儿园在园幼儿占比达到60%以上。加强小区配套幼儿园的建设和监管，确保惠普性幼儿园在园占比达到95%以上。全面加快幼儿园升等晋级，新（改、扩）建二级以上幼儿园190所，二级幼儿园在园占比达到80%以上。</w:t>
            </w:r>
          </w:p>
          <w:p>
            <w:pPr>
              <w:spacing w:line="400" w:lineRule="exact"/>
              <w:ind w:firstLine="482" w:firstLineChars="200"/>
              <w:jc w:val="left"/>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义务教育“整体优化”工程。</w:t>
            </w:r>
            <w:r>
              <w:rPr>
                <w:rFonts w:hint="eastAsia" w:ascii="仿宋_GB2312" w:hAnsi="Times New Roman" w:eastAsia="仿宋_GB2312" w:cs="Times New Roman"/>
                <w:sz w:val="24"/>
                <w:szCs w:val="24"/>
              </w:rPr>
              <w:t>实施随迁子女蓝天教育计划，完善校网布局规划和建设，大幅增加随迁子女义务教育公办学位供给，全市随迁子女学校省级标准化率达100%。实施小学培智赋能计划、初中崛起行动，义务教育标准化学校占比 达100%，实现乡村名校建设全覆盖。50%的县（市、区）创成国家义务教育优质均衡发展县。</w:t>
            </w:r>
          </w:p>
          <w:p>
            <w:pPr>
              <w:spacing w:line="400" w:lineRule="exact"/>
              <w:ind w:firstLine="482" w:firstLineChars="200"/>
              <w:jc w:val="left"/>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高中教育“固本强基”工程。</w:t>
            </w:r>
            <w:r>
              <w:rPr>
                <w:rFonts w:hint="eastAsia" w:ascii="仿宋_GB2312" w:hAnsi="Times New Roman" w:eastAsia="仿宋_GB2312" w:cs="Times New Roman"/>
                <w:sz w:val="24"/>
                <w:szCs w:val="24"/>
              </w:rPr>
              <w:t>建成100所体育特色学校，全市制定并实施台州市市直高中办学质量最高地架构行动，计划投资20亿，新建月湖中学、永宁中学，迁建三梅中学、新桥中学，改扩建黄岩二高，全面优化市直高中校网布局，提高市区教育首位度。支持台州中学等各县市优质高中发展，重点推进玉环中学扩建工程。深化高中课程改革。</w:t>
            </w:r>
          </w:p>
          <w:p>
            <w:pPr>
              <w:adjustRightInd w:val="0"/>
              <w:snapToGrid w:val="0"/>
              <w:spacing w:line="400" w:lineRule="exact"/>
              <w:ind w:firstLine="482" w:firstLineChars="200"/>
              <w:rPr>
                <w:rFonts w:ascii="仿宋_GB2312" w:hAnsi="宋体" w:eastAsia="仿宋_GB2312"/>
                <w:b/>
                <w:bCs/>
                <w:color w:val="000000"/>
                <w:sz w:val="24"/>
                <w:szCs w:val="24"/>
              </w:rPr>
            </w:pPr>
            <w:r>
              <w:rPr>
                <w:rFonts w:hint="eastAsia" w:ascii="仿宋_GB2312" w:hAnsi="宋体" w:eastAsia="仿宋_GB2312"/>
                <w:b/>
                <w:bCs/>
                <w:color w:val="000000"/>
                <w:sz w:val="24"/>
                <w:szCs w:val="24"/>
              </w:rPr>
              <w:t>职业教育“协同推进”工程。</w:t>
            </w:r>
            <w:r>
              <w:rPr>
                <w:rFonts w:hint="eastAsia" w:ascii="仿宋_GB2312" w:hAnsi="宋体" w:eastAsia="仿宋_GB2312"/>
                <w:color w:val="000000"/>
                <w:sz w:val="24"/>
                <w:szCs w:val="24"/>
              </w:rPr>
              <w:t>实施“一县一策”“一校一案”策略，新建集职业教育培养培训、科技研发、创新创业为一体的现代职业教育创业园区，改造20所中职学校。协同建设10个左右教师企业实践流动站、技术技能传承创新工作室，建设10个中小学生职业体验中心。</w:t>
            </w:r>
          </w:p>
          <w:p>
            <w:pPr>
              <w:spacing w:line="400" w:lineRule="exact"/>
              <w:ind w:firstLine="482" w:firstLineChars="200"/>
              <w:rPr>
                <w:rFonts w:ascii="宋体" w:hAnsi="宋体" w:eastAsia="宋体"/>
                <w:sz w:val="28"/>
                <w:szCs w:val="28"/>
              </w:rPr>
            </w:pPr>
            <w:r>
              <w:rPr>
                <w:rFonts w:hint="eastAsia" w:ascii="仿宋_GB2312" w:hAnsi="宋体" w:eastAsia="仿宋_GB2312"/>
                <w:b/>
                <w:bCs/>
                <w:color w:val="000000"/>
                <w:kern w:val="44"/>
                <w:sz w:val="24"/>
                <w:szCs w:val="24"/>
              </w:rPr>
              <w:t>高等教育“</w:t>
            </w:r>
            <w:r>
              <w:rPr>
                <w:rFonts w:hint="eastAsia" w:ascii="仿宋_GB2312" w:hAnsi="宋体" w:eastAsia="仿宋_GB2312"/>
                <w:b/>
                <w:bCs/>
                <w:color w:val="000000"/>
                <w:sz w:val="24"/>
                <w:szCs w:val="24"/>
              </w:rPr>
              <w:t>转型升级</w:t>
            </w:r>
            <w:r>
              <w:rPr>
                <w:rFonts w:hint="eastAsia" w:ascii="仿宋_GB2312" w:hAnsi="宋体" w:eastAsia="仿宋_GB2312"/>
                <w:b/>
                <w:bCs/>
                <w:color w:val="000000"/>
                <w:kern w:val="44"/>
                <w:sz w:val="24"/>
                <w:szCs w:val="24"/>
              </w:rPr>
              <w:t>”</w:t>
            </w:r>
            <w:r>
              <w:rPr>
                <w:rFonts w:hint="eastAsia" w:ascii="仿宋_GB2312" w:hAnsi="宋体" w:eastAsia="仿宋_GB2312"/>
                <w:b/>
                <w:bCs/>
                <w:color w:val="000000"/>
                <w:sz w:val="24"/>
                <w:szCs w:val="24"/>
              </w:rPr>
              <w:t>工程。</w:t>
            </w:r>
            <w:r>
              <w:rPr>
                <w:rFonts w:hint="eastAsia" w:ascii="仿宋_GB2312" w:hAnsi="宋体" w:eastAsia="仿宋_GB2312"/>
                <w:color w:val="000000"/>
                <w:sz w:val="24"/>
                <w:szCs w:val="24"/>
              </w:rPr>
              <w:t>建设高水平学科专业体系，加强一流专业建设，深入推进国家级和省级一流专业建设“双万计划”，“十四五”期间，在省登峰学科、优势特色学科评比中走在全省前列。高水平构建人才培养体系，全面推进课程思政建设，深化教育教学改革，实施高质量大学生就业工程，鼓励引导优秀毕业生落户台州创业。</w:t>
            </w:r>
          </w:p>
          <w:p>
            <w:pPr>
              <w:adjustRightInd w:val="0"/>
              <w:snapToGrid w:val="0"/>
              <w:spacing w:line="400" w:lineRule="exact"/>
              <w:ind w:firstLine="482" w:firstLineChars="200"/>
              <w:rPr>
                <w:rFonts w:ascii="仿宋_GB2312" w:hAnsi="宋体" w:eastAsia="仿宋_GB2312"/>
                <w:color w:val="000000"/>
                <w:sz w:val="24"/>
                <w:szCs w:val="24"/>
              </w:rPr>
            </w:pPr>
            <w:r>
              <w:rPr>
                <w:rFonts w:hint="eastAsia" w:ascii="仿宋_GB2312" w:hAnsi="宋体" w:eastAsia="仿宋_GB2312"/>
                <w:b/>
                <w:color w:val="000000"/>
                <w:sz w:val="24"/>
                <w:szCs w:val="24"/>
              </w:rPr>
              <w:t>终身教育“服务全民”改革行动。</w:t>
            </w:r>
            <w:r>
              <w:rPr>
                <w:rFonts w:hint="eastAsia" w:ascii="仿宋_GB2312" w:hAnsi="宋体" w:eastAsia="仿宋_GB2312"/>
                <w:color w:val="000000"/>
                <w:sz w:val="24"/>
                <w:szCs w:val="24"/>
              </w:rPr>
              <w:t>健全服务全民终身学习的教育制度，鼓励学校面向多种社会群体开展多种形式的继续教育、社区教育和老年教育，强化学校的终身教育功能。</w:t>
            </w:r>
            <w:r>
              <w:rPr>
                <w:rFonts w:ascii="仿宋_GB2312" w:hAnsi="宋体" w:eastAsia="仿宋_GB2312"/>
                <w:color w:val="000000"/>
                <w:sz w:val="24"/>
                <w:szCs w:val="24"/>
              </w:rPr>
              <w:t>85%</w:t>
            </w:r>
            <w:r>
              <w:rPr>
                <w:rFonts w:hint="eastAsia" w:ascii="仿宋_GB2312" w:hAnsi="宋体" w:eastAsia="仿宋_GB2312"/>
                <w:color w:val="000000"/>
                <w:sz w:val="24"/>
                <w:szCs w:val="24"/>
              </w:rPr>
              <w:t>的乡镇（街道）成人（社区）学校建成省级现代化成人（社区）学校。</w:t>
            </w:r>
            <w:r>
              <w:rPr>
                <w:rFonts w:ascii="仿宋_GB2312" w:hAnsi="宋体" w:eastAsia="仿宋_GB2312"/>
                <w:color w:val="000000"/>
                <w:sz w:val="24"/>
                <w:szCs w:val="24"/>
              </w:rPr>
              <w:t>85%</w:t>
            </w:r>
            <w:r>
              <w:rPr>
                <w:rFonts w:hint="eastAsia" w:ascii="仿宋_GB2312" w:hAnsi="宋体" w:eastAsia="仿宋_GB2312"/>
                <w:color w:val="000000"/>
                <w:sz w:val="24"/>
                <w:szCs w:val="24"/>
              </w:rPr>
              <w:t>的县（市、区）成为学习型城市。</w:t>
            </w:r>
          </w:p>
        </w:tc>
      </w:tr>
    </w:tbl>
    <w:p>
      <w:pPr>
        <w:spacing w:beforeLines="50"/>
        <w:ind w:firstLine="643" w:firstLineChars="200"/>
        <w:outlineLvl w:val="2"/>
        <w:rPr>
          <w:rFonts w:ascii="仿宋_GB2312" w:hAnsi="Times New Roman" w:eastAsia="仿宋_GB2312" w:cs="Times New Roman"/>
          <w:b/>
          <w:sz w:val="32"/>
          <w:szCs w:val="32"/>
        </w:rPr>
      </w:pPr>
      <w:bookmarkStart w:id="22" w:name="_Toc68980530"/>
      <w:bookmarkStart w:id="23" w:name="_Toc69259722"/>
      <w:r>
        <w:rPr>
          <w:rFonts w:hint="eastAsia" w:ascii="仿宋_GB2312" w:hAnsi="Times New Roman" w:eastAsia="仿宋_GB2312" w:cs="Times New Roman"/>
          <w:b/>
          <w:sz w:val="32"/>
          <w:szCs w:val="32"/>
        </w:rPr>
        <w:t>2</w:t>
      </w:r>
      <w:r>
        <w:rPr>
          <w:rFonts w:hint="eastAsia" w:ascii="仿宋_GB2312" w:eastAsia="仿宋_GB2312" w:cs="Times New Roman"/>
          <w:b/>
          <w:sz w:val="32"/>
          <w:szCs w:val="32"/>
        </w:rPr>
        <w:t>、建设均衡优质卫生体系</w:t>
      </w:r>
      <w:bookmarkEnd w:id="22"/>
      <w:bookmarkEnd w:id="23"/>
    </w:p>
    <w:p>
      <w:pPr>
        <w:ind w:firstLine="643" w:firstLineChars="200"/>
        <w:rPr>
          <w:rFonts w:ascii="仿宋_GB2312" w:hAnsi="宋体" w:eastAsia="仿宋_GB2312" w:cs="宋体"/>
          <w:color w:val="000000"/>
          <w:kern w:val="0"/>
          <w:sz w:val="32"/>
          <w:szCs w:val="32"/>
        </w:rPr>
      </w:pPr>
      <w:r>
        <w:rPr>
          <w:rFonts w:hint="eastAsia" w:ascii="仿宋_GB2312" w:hAnsi="Times New Roman" w:eastAsia="仿宋_GB2312" w:cs="Times New Roman"/>
          <w:b/>
          <w:sz w:val="32"/>
          <w:szCs w:val="32"/>
        </w:rPr>
        <w:t>健全公共卫生应急保障体不系。</w:t>
      </w:r>
      <w:r>
        <w:rPr>
          <w:rFonts w:hint="eastAsia" w:ascii="仿宋_GB2312" w:eastAsia="仿宋_GB2312"/>
          <w:color w:val="000000"/>
          <w:sz w:val="32"/>
          <w:szCs w:val="32"/>
        </w:rPr>
        <w:t>推进全市公共卫生应急管理综合改革。</w:t>
      </w:r>
      <w:r>
        <w:rPr>
          <w:rFonts w:hint="eastAsia" w:ascii="仿宋_GB2312" w:hAnsi="宋体" w:eastAsia="仿宋_GB2312" w:cs="宋体"/>
          <w:color w:val="000000"/>
          <w:kern w:val="0"/>
          <w:sz w:val="32"/>
          <w:szCs w:val="32"/>
        </w:rPr>
        <w:t>完善重大疫情应急响应机制和防治协同机制,</w:t>
      </w:r>
      <w:r>
        <w:rPr>
          <w:rFonts w:hint="eastAsia" w:ascii="仿宋_GB2312" w:hAnsi="Times New Roman" w:eastAsia="仿宋_GB2312" w:cs="Times New Roman"/>
          <w:bCs/>
          <w:color w:val="000000" w:themeColor="text1"/>
          <w:sz w:val="32"/>
          <w:szCs w:val="32"/>
          <w14:textFill>
            <w14:solidFill>
              <w14:schemeClr w14:val="tx1"/>
            </w14:solidFill>
          </w14:textFill>
        </w:rPr>
        <w:t>建立全市公共卫生应急指挥平台</w:t>
      </w:r>
      <w:r>
        <w:rPr>
          <w:rFonts w:hint="eastAsia" w:ascii="仿宋_GB2312" w:hAnsi="宋体" w:eastAsia="仿宋_GB2312" w:cs="宋体"/>
          <w:color w:val="000000"/>
          <w:kern w:val="0"/>
          <w:sz w:val="32"/>
          <w:szCs w:val="32"/>
        </w:rPr>
        <w:t>。改革完善疾病预防控制体系，完成全市疾病预防控制机构标准化建设,</w:t>
      </w:r>
      <w:r>
        <w:rPr>
          <w:rFonts w:hint="eastAsia" w:ascii="仿宋_GB2312" w:hAnsi="Times New Roman" w:eastAsia="仿宋_GB2312" w:cs="Times New Roman"/>
          <w:bCs/>
          <w:color w:val="000000" w:themeColor="text1"/>
          <w:sz w:val="32"/>
          <w:szCs w:val="32"/>
          <w14:textFill>
            <w14:solidFill>
              <w14:schemeClr w14:val="tx1"/>
            </w14:solidFill>
          </w14:textFill>
        </w:rPr>
        <w:t>规范医疗机构发热门诊建设。优化重大疫情医疗救治体系。加强市级定点医院基础设施建设和设备升级，</w:t>
      </w:r>
      <w:r>
        <w:rPr>
          <w:rFonts w:hint="eastAsia" w:ascii="仿宋_GB2312" w:hAnsi="宋体" w:eastAsia="仿宋_GB2312" w:cs="宋体"/>
          <w:color w:val="000000"/>
          <w:kern w:val="0"/>
          <w:sz w:val="32"/>
          <w:szCs w:val="32"/>
        </w:rPr>
        <w:t>布局建设</w:t>
      </w:r>
      <w:r>
        <w:rPr>
          <w:rFonts w:ascii="Times New Roman" w:hAnsi="Times New Roman" w:eastAsia="宋体" w:cs="Times New Roman"/>
          <w:color w:val="000000"/>
          <w:kern w:val="0"/>
          <w:sz w:val="32"/>
          <w:szCs w:val="32"/>
        </w:rPr>
        <w:t>2-3</w:t>
      </w:r>
      <w:r>
        <w:rPr>
          <w:rFonts w:hint="eastAsia" w:ascii="仿宋_GB2312" w:hAnsi="宋体" w:eastAsia="仿宋_GB2312" w:cs="宋体"/>
          <w:color w:val="000000"/>
          <w:kern w:val="0"/>
          <w:sz w:val="32"/>
          <w:szCs w:val="32"/>
        </w:rPr>
        <w:t>家中医疫病防治基地，推进重症、呼吸、麻醉、感染等公共卫生相关学科建设，提升综合救治和多学科联合诊治水平;</w:t>
      </w:r>
      <w:r>
        <w:rPr>
          <w:rFonts w:hint="eastAsia" w:ascii="仿宋_GB2312" w:hAnsi="Times New Roman" w:eastAsia="仿宋_GB2312" w:cs="Times New Roman"/>
          <w:bCs/>
          <w:color w:val="000000" w:themeColor="text1"/>
          <w:sz w:val="32"/>
          <w:szCs w:val="32"/>
          <w14:textFill>
            <w14:solidFill>
              <w14:schemeClr w14:val="tx1"/>
            </w14:solidFill>
          </w14:textFill>
        </w:rPr>
        <w:t>市、县两级分别建成符合实际功能定位和发展规划的公共卫生检验检测与研究中心、公共卫生检测实验室;</w:t>
      </w:r>
      <w:r>
        <w:rPr>
          <w:rFonts w:hint="eastAsia" w:ascii="仿宋_GB2312" w:hAnsi="宋体" w:eastAsia="仿宋_GB2312" w:cs="宋体"/>
          <w:color w:val="000000"/>
          <w:kern w:val="0"/>
          <w:sz w:val="32"/>
          <w:szCs w:val="32"/>
        </w:rPr>
        <w:t>推进基层医疗机构发热诊室建设，完善</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哨点</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 xml:space="preserve">体系。完善公共卫生安全保障体系。统筹推进妇幼保健、卫生防治、采供血机构等专业公共卫生机构建设；统筹疾病预防控制机构、医疗机构和第三方机构检测资源；合理布局院前医疗急救网络，建设市院前急救 </w:t>
      </w:r>
      <w:r>
        <w:rPr>
          <w:rFonts w:ascii="Times New Roman" w:hAnsi="Times New Roman" w:eastAsia="宋体" w:cs="Times New Roman"/>
          <w:color w:val="000000"/>
          <w:kern w:val="0"/>
          <w:sz w:val="32"/>
          <w:szCs w:val="32"/>
        </w:rPr>
        <w:t>120</w:t>
      </w:r>
      <w:r>
        <w:rPr>
          <w:rFonts w:hint="eastAsia" w:ascii="仿宋_GB2312" w:hAnsi="宋体" w:eastAsia="仿宋_GB2312" w:cs="宋体"/>
          <w:color w:val="000000"/>
          <w:kern w:val="0"/>
          <w:sz w:val="32"/>
          <w:szCs w:val="32"/>
        </w:rPr>
        <w:t>云平台，实现全市</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一网管理、一键急救</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；加强采供血服务体系建设；健全统一的应急物资保障体系，</w:t>
      </w:r>
      <w:r>
        <w:rPr>
          <w:rFonts w:hint="eastAsia" w:ascii="仿宋_GB2312" w:hAnsi="Times New Roman" w:eastAsia="仿宋_GB2312" w:cs="Times New Roman"/>
          <w:sz w:val="32"/>
          <w:szCs w:val="32"/>
        </w:rPr>
        <w:t>完善重要应急物资监管、生产、储备、调拨和紧急配送体系。建立公共卫生应急合作机制，促进重大公共卫生跨区域联防联控。</w:t>
      </w:r>
      <w:r>
        <w:rPr>
          <w:rFonts w:ascii="Times New Roman" w:hAnsi="Times New Roman" w:eastAsia="宋体" w:cs="Times New Roman"/>
          <w:color w:val="000000"/>
          <w:kern w:val="0"/>
          <w:sz w:val="32"/>
          <w:szCs w:val="32"/>
        </w:rPr>
        <w:t>2025</w:t>
      </w:r>
      <w:r>
        <w:rPr>
          <w:rFonts w:hint="eastAsia" w:ascii="仿宋_GB2312" w:hAnsi="宋体" w:eastAsia="仿宋_GB2312" w:cs="宋体"/>
          <w:color w:val="000000"/>
          <w:kern w:val="0"/>
          <w:sz w:val="32"/>
          <w:szCs w:val="32"/>
        </w:rPr>
        <w:t>年，建成决策科学、指挥高效、运转有序、协同联动的现代化公共卫生应急管理体系，达到国内地市级领先水平。</w:t>
      </w:r>
    </w:p>
    <w:p>
      <w:pPr>
        <w:ind w:firstLine="643" w:firstLineChars="200"/>
        <w:rPr>
          <w:rFonts w:ascii="宋体" w:hAnsi="宋体" w:eastAsia="宋体" w:cs="宋体"/>
          <w:kern w:val="0"/>
          <w:sz w:val="24"/>
          <w:szCs w:val="24"/>
        </w:rPr>
      </w:pPr>
      <w:r>
        <w:rPr>
          <w:rFonts w:hint="eastAsia" w:ascii="仿宋_GB2312" w:hAnsi="Times New Roman" w:eastAsia="仿宋_GB2312" w:cs="Times New Roman"/>
          <w:b/>
          <w:sz w:val="32"/>
          <w:szCs w:val="32"/>
        </w:rPr>
        <w:t>扩大优质医疗资源供给。</w:t>
      </w:r>
      <w:r>
        <w:rPr>
          <w:rFonts w:hint="eastAsia" w:ascii="仿宋_GB2312" w:hAnsi="Times New Roman" w:eastAsia="仿宋_GB2312" w:cs="Times New Roman"/>
          <w:sz w:val="32"/>
          <w:szCs w:val="32"/>
        </w:rPr>
        <w:t>深化国家城市医疗联合体建设试点，推进城市医联体和县域医共体建设，</w:t>
      </w:r>
      <w:r>
        <w:rPr>
          <w:rFonts w:hint="eastAsia" w:ascii="仿宋_GB2312" w:hAnsi="宋体" w:eastAsia="仿宋_GB2312" w:cs="宋体"/>
          <w:color w:val="000000"/>
          <w:kern w:val="0"/>
          <w:sz w:val="32"/>
          <w:szCs w:val="32"/>
        </w:rPr>
        <w:t>加强优质医疗资源引进和扩容。</w:t>
      </w:r>
      <w:r>
        <w:rPr>
          <w:rFonts w:hint="eastAsia" w:ascii="仿宋_GB2312" w:hAnsi="Times New Roman" w:eastAsia="仿宋_GB2312" w:cs="Times New Roman"/>
          <w:sz w:val="32"/>
          <w:szCs w:val="32"/>
        </w:rPr>
        <w:t>加快医疗卫生重大项目建设，建成投用台州医院新院区、市第一人民医院新院区等医疗机构，进一步优化调整浙东医院、市立医院、市中医院等市区医院布局，促进市级医院等级提升，</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十四五</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期间力争新增</w:t>
      </w:r>
      <w:r>
        <w:rPr>
          <w:rFonts w:ascii="Times New Roman" w:hAnsi="Times New Roman" w:eastAsia="宋体" w:cs="Times New Roman"/>
          <w:color w:val="000000"/>
          <w:kern w:val="0"/>
          <w:sz w:val="32"/>
          <w:szCs w:val="32"/>
        </w:rPr>
        <w:t>2</w:t>
      </w:r>
      <w:r>
        <w:rPr>
          <w:rFonts w:hint="eastAsia" w:ascii="仿宋_GB2312" w:hAnsi="宋体" w:eastAsia="仿宋_GB2312" w:cs="宋体"/>
          <w:color w:val="000000"/>
          <w:kern w:val="0"/>
          <w:sz w:val="32"/>
          <w:szCs w:val="32"/>
        </w:rPr>
        <w:t>家三级甲等医院，</w:t>
      </w:r>
      <w:r>
        <w:rPr>
          <w:rFonts w:ascii="Times New Roman" w:hAnsi="Times New Roman" w:eastAsia="宋体" w:cs="Times New Roman"/>
          <w:color w:val="000000"/>
          <w:kern w:val="0"/>
          <w:sz w:val="32"/>
          <w:szCs w:val="32"/>
        </w:rPr>
        <w:t>2</w:t>
      </w:r>
      <w:r>
        <w:rPr>
          <w:rFonts w:hint="eastAsia" w:ascii="仿宋_GB2312" w:hAnsi="宋体" w:eastAsia="仿宋_GB2312" w:cs="宋体"/>
          <w:color w:val="000000"/>
          <w:kern w:val="0"/>
          <w:sz w:val="32"/>
          <w:szCs w:val="32"/>
        </w:rPr>
        <w:t>家三级甲等中医医院。</w:t>
      </w:r>
      <w:r>
        <w:rPr>
          <w:rFonts w:hint="eastAsia" w:ascii="仿宋_GB2312" w:hAnsi="Times New Roman" w:eastAsia="仿宋_GB2312" w:cs="Times New Roman"/>
          <w:sz w:val="32"/>
          <w:szCs w:val="32"/>
        </w:rPr>
        <w:t>加强与复旦大学公共卫生学院等国内外知名医学院校、医疗机构合作，加大高水平医院和高水平临床医学中心及临床重点专科创建力度，打造市级区域医疗中心，</w:t>
      </w:r>
      <w:r>
        <w:rPr>
          <w:rFonts w:hint="eastAsia" w:ascii="仿宋_GB2312" w:eastAsia="仿宋_GB2312"/>
          <w:color w:val="000000"/>
          <w:sz w:val="32"/>
          <w:szCs w:val="32"/>
        </w:rPr>
        <w:t>力争创建省级重点学科</w:t>
      </w:r>
      <w:r>
        <w:rPr>
          <w:rFonts w:ascii="Times New Roman" w:hAnsi="Times New Roman" w:cs="Times New Roman"/>
          <w:color w:val="000000"/>
          <w:sz w:val="32"/>
          <w:szCs w:val="32"/>
        </w:rPr>
        <w:t>5</w:t>
      </w:r>
      <w:r>
        <w:rPr>
          <w:rFonts w:hint="eastAsia" w:ascii="仿宋_GB2312" w:eastAsia="仿宋_GB2312"/>
          <w:color w:val="000000"/>
          <w:sz w:val="32"/>
          <w:szCs w:val="32"/>
        </w:rPr>
        <w:t>个。</w:t>
      </w:r>
      <w:r>
        <w:rPr>
          <w:rFonts w:hint="eastAsia" w:ascii="仿宋_GB2312" w:hAnsi="Times New Roman" w:eastAsia="仿宋_GB2312" w:cs="Times New Roman"/>
          <w:sz w:val="32"/>
          <w:szCs w:val="32"/>
        </w:rPr>
        <w:t>推进专病中心和专科医院建设，鼓励社会资本投资兴办心血管、肾病等高端专科医院。积极引进国内外社会办医实体来台创办“专、精、特、优”医疗机构。加快建设卫生高层次人才集群，培育市级医学中心，打造高能级医学创新平台。</w:t>
      </w:r>
    </w:p>
    <w:p>
      <w:pPr>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提升基层医疗服务能力。</w:t>
      </w:r>
      <w:r>
        <w:rPr>
          <w:rFonts w:hint="eastAsia" w:ascii="仿宋_GB2312" w:hAnsi="Times New Roman" w:eastAsia="仿宋_GB2312" w:cs="Times New Roman"/>
          <w:sz w:val="32"/>
          <w:szCs w:val="32"/>
        </w:rPr>
        <w:t>持续深化县级强院建设，强化</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外引内联</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 xml:space="preserve">，健全多渠道的基层运行补偿机制，推动医共体牵头医院提标扩能。到 </w:t>
      </w:r>
      <w:r>
        <w:rPr>
          <w:rFonts w:ascii="仿宋_GB2312" w:hAnsi="Times New Roman" w:eastAsia="仿宋_GB2312" w:cs="Times New Roman"/>
          <w:sz w:val="32"/>
          <w:szCs w:val="32"/>
        </w:rPr>
        <w:t xml:space="preserve">2025 </w:t>
      </w:r>
      <w:r>
        <w:rPr>
          <w:rFonts w:hint="eastAsia" w:ascii="仿宋_GB2312" w:hAnsi="Times New Roman" w:eastAsia="仿宋_GB2312" w:cs="Times New Roman"/>
          <w:sz w:val="32"/>
          <w:szCs w:val="32"/>
        </w:rPr>
        <w:t>年，原则上每个县至少有一家医共体牵头医院达到三级医院水平。加大基层医疗卫生机构标准化建设，推进乡镇卫生院 （社区卫生服务中心）标准化建设，提升规范化管理能力。开展社区医院建设，设置以老年、康复、护理、安宁疗护床位为主的住院病房，力争到</w:t>
      </w:r>
      <w:r>
        <w:rPr>
          <w:rFonts w:ascii="仿宋_GB2312" w:hAnsi="Times New Roman" w:eastAsia="仿宋_GB2312" w:cs="Times New Roman"/>
          <w:sz w:val="32"/>
          <w:szCs w:val="32"/>
        </w:rPr>
        <w:t>2025</w:t>
      </w:r>
      <w:r>
        <w:rPr>
          <w:rFonts w:hint="eastAsia" w:ascii="仿宋_GB2312" w:hAnsi="Times New Roman" w:eastAsia="仿宋_GB2312" w:cs="Times New Roman"/>
          <w:sz w:val="32"/>
          <w:szCs w:val="32"/>
        </w:rPr>
        <w:t xml:space="preserve">，全市政府办社区卫生服务站和村卫生室比例分别达到 </w:t>
      </w:r>
      <w:r>
        <w:rPr>
          <w:rFonts w:ascii="仿宋_GB2312" w:hAnsi="Times New Roman" w:eastAsia="仿宋_GB2312" w:cs="Times New Roman"/>
          <w:sz w:val="32"/>
          <w:szCs w:val="32"/>
        </w:rPr>
        <w:t>90%</w:t>
      </w:r>
      <w:r>
        <w:rPr>
          <w:rFonts w:hint="eastAsia" w:ascii="仿宋_GB2312" w:hAnsi="Times New Roman" w:eastAsia="仿宋_GB2312" w:cs="Times New Roman"/>
          <w:sz w:val="32"/>
          <w:szCs w:val="32"/>
        </w:rPr>
        <w:t>和</w:t>
      </w:r>
      <w:r>
        <w:rPr>
          <w:rFonts w:ascii="仿宋_GB2312" w:hAnsi="Times New Roman" w:eastAsia="仿宋_GB2312" w:cs="Times New Roman"/>
          <w:sz w:val="32"/>
          <w:szCs w:val="32"/>
        </w:rPr>
        <w:t>50%</w:t>
      </w:r>
      <w:r>
        <w:rPr>
          <w:rFonts w:hint="eastAsia" w:ascii="仿宋_GB2312" w:hAnsi="Times New Roman" w:eastAsia="仿宋_GB2312" w:cs="Times New Roman"/>
          <w:sz w:val="32"/>
          <w:szCs w:val="32"/>
        </w:rPr>
        <w:t xml:space="preserve">以上，每个政府办村级医疗卫生机构至少拥有 </w:t>
      </w:r>
      <w:r>
        <w:rPr>
          <w:rFonts w:ascii="仿宋_GB2312" w:hAnsi="Times New Roman" w:eastAsia="仿宋_GB2312" w:cs="Times New Roman"/>
          <w:sz w:val="32"/>
          <w:szCs w:val="32"/>
        </w:rPr>
        <w:t xml:space="preserve">1 </w:t>
      </w:r>
      <w:r>
        <w:rPr>
          <w:rFonts w:hint="eastAsia" w:ascii="仿宋_GB2312" w:hAnsi="Times New Roman" w:eastAsia="仿宋_GB2312" w:cs="Times New Roman"/>
          <w:sz w:val="32"/>
          <w:szCs w:val="32"/>
        </w:rPr>
        <w:t>名执业（助理）医师。深化家庭医生签约服务，逐步推行家庭医生首诊制度，做实家庭医生在重点人群慢性疾病管理防治服务，规范开展随访管理、服药指导和康复训练等。积极推进“互联网+”，加快区域医学共享中心建设。</w:t>
      </w:r>
    </w:p>
    <w:tbl>
      <w:tblPr>
        <w:tblStyle w:val="16"/>
        <w:tblW w:w="0" w:type="auto"/>
        <w:tblInd w:w="0" w:type="dxa"/>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shd w:val="clear" w:color="auto" w:fill="92CDDC" w:themeFill="accent5" w:themeFillTint="99"/>
          </w:tcPr>
          <w:p>
            <w:pPr>
              <w:rPr>
                <w:rFonts w:ascii="仿宋_GB2312" w:eastAsia="仿宋_GB2312" w:hAnsiTheme="minorEastAsia"/>
                <w:b/>
                <w:sz w:val="28"/>
                <w:szCs w:val="28"/>
              </w:rPr>
            </w:pPr>
            <w:r>
              <w:rPr>
                <w:rFonts w:hint="eastAsia" w:ascii="仿宋_GB2312" w:eastAsia="仿宋_GB2312" w:hAnsiTheme="minorEastAsia"/>
                <w:b/>
                <w:sz w:val="28"/>
                <w:szCs w:val="28"/>
              </w:rPr>
              <w:t xml:space="preserve">专栏5  </w:t>
            </w:r>
            <w:r>
              <w:rPr>
                <w:rFonts w:hint="eastAsia" w:ascii="仿宋_GB2312" w:hAnsi="Times New Roman" w:eastAsia="仿宋_GB2312" w:cs="Times New Roman"/>
                <w:b/>
                <w:color w:val="000000"/>
                <w:sz w:val="28"/>
                <w:szCs w:val="28"/>
              </w:rPr>
              <w:t>基层医疗服务提升工程</w:t>
            </w: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tcPr>
          <w:p>
            <w:pPr>
              <w:widowControl/>
              <w:spacing w:line="400" w:lineRule="exact"/>
              <w:ind w:firstLine="482" w:firstLineChars="200"/>
              <w:jc w:val="left"/>
              <w:rPr>
                <w:rFonts w:ascii="宋体" w:hAnsi="宋体" w:eastAsia="宋体" w:cs="宋体"/>
                <w:kern w:val="0"/>
                <w:sz w:val="24"/>
                <w:szCs w:val="24"/>
              </w:rPr>
            </w:pPr>
            <w:r>
              <w:rPr>
                <w:rFonts w:hint="eastAsia" w:ascii="仿宋_GB2312" w:hAnsi="宋体" w:eastAsia="仿宋_GB2312" w:cs="宋体"/>
                <w:b/>
                <w:color w:val="000000"/>
                <w:kern w:val="0"/>
                <w:sz w:val="24"/>
                <w:szCs w:val="24"/>
              </w:rPr>
              <w:t>医共体牵头医院强院建设。</w:t>
            </w:r>
            <w:r>
              <w:rPr>
                <w:rFonts w:hint="eastAsia" w:ascii="仿宋_GB2312" w:hAnsi="宋体" w:eastAsia="仿宋_GB2312" w:cs="宋体"/>
                <w:color w:val="000000"/>
                <w:kern w:val="0"/>
                <w:sz w:val="24"/>
                <w:szCs w:val="24"/>
              </w:rPr>
              <w:t xml:space="preserve">推进临海市第一人民医院扩建、温岭第五人民医院迁建、玉环市人民医院改扩建、三门县人民医院迁建二期、仙居县人民医院（妇保院）迁建等项目。 </w:t>
            </w:r>
          </w:p>
          <w:p>
            <w:pPr>
              <w:widowControl/>
              <w:spacing w:line="400" w:lineRule="exact"/>
              <w:ind w:firstLine="482" w:firstLineChars="200"/>
              <w:jc w:val="left"/>
              <w:rPr>
                <w:rFonts w:ascii="宋体" w:hAnsi="宋体" w:eastAsia="宋体" w:cs="宋体"/>
                <w:kern w:val="0"/>
                <w:sz w:val="24"/>
                <w:szCs w:val="24"/>
              </w:rPr>
            </w:pPr>
            <w:r>
              <w:rPr>
                <w:rFonts w:hint="eastAsia" w:ascii="仿宋_GB2312" w:hAnsi="宋体" w:eastAsia="仿宋_GB2312" w:cs="宋体"/>
                <w:b/>
                <w:color w:val="000000"/>
                <w:kern w:val="0"/>
                <w:sz w:val="24"/>
                <w:szCs w:val="24"/>
              </w:rPr>
              <w:t>基层医疗卫生服务能力提升。</w:t>
            </w:r>
            <w:r>
              <w:rPr>
                <w:rFonts w:hint="eastAsia" w:ascii="仿宋_GB2312" w:hAnsi="宋体" w:eastAsia="仿宋_GB2312" w:cs="宋体"/>
                <w:color w:val="000000"/>
                <w:kern w:val="0"/>
                <w:sz w:val="24"/>
                <w:szCs w:val="24"/>
              </w:rPr>
              <w:t>推进一批乡镇卫生院（社区卫生服务中心）新（改扩）建工程。力争</w:t>
            </w:r>
            <w:r>
              <w:rPr>
                <w:rFonts w:ascii="Times New Roman" w:hAnsi="Times New Roman" w:eastAsia="宋体" w:cs="Times New Roman"/>
                <w:color w:val="000000"/>
                <w:kern w:val="0"/>
                <w:sz w:val="24"/>
                <w:szCs w:val="24"/>
              </w:rPr>
              <w:t>80%</w:t>
            </w:r>
            <w:r>
              <w:rPr>
                <w:rFonts w:hint="eastAsia" w:ascii="仿宋_GB2312" w:hAnsi="宋体" w:eastAsia="仿宋_GB2312" w:cs="宋体"/>
                <w:color w:val="000000"/>
                <w:kern w:val="0"/>
                <w:sz w:val="24"/>
                <w:szCs w:val="24"/>
              </w:rPr>
              <w:t xml:space="preserve">以上的乡镇卫生院能够提供住院服务。 </w:t>
            </w:r>
          </w:p>
          <w:p>
            <w:pPr>
              <w:widowControl/>
              <w:spacing w:line="400" w:lineRule="exact"/>
              <w:ind w:firstLine="482" w:firstLineChars="200"/>
              <w:jc w:val="left"/>
              <w:rPr>
                <w:rFonts w:ascii="宋体" w:hAnsi="宋体" w:eastAsia="宋体" w:cs="宋体"/>
                <w:kern w:val="0"/>
                <w:sz w:val="24"/>
                <w:szCs w:val="24"/>
              </w:rPr>
            </w:pPr>
            <w:r>
              <w:rPr>
                <w:rFonts w:hint="eastAsia" w:ascii="仿宋_GB2312" w:hAnsi="宋体" w:eastAsia="仿宋_GB2312" w:cs="宋体"/>
                <w:b/>
                <w:color w:val="000000"/>
                <w:kern w:val="0"/>
                <w:sz w:val="24"/>
                <w:szCs w:val="24"/>
              </w:rPr>
              <w:t>县乡村医疗卫生体系一体化改革。</w:t>
            </w:r>
            <w:r>
              <w:rPr>
                <w:rFonts w:hint="eastAsia" w:ascii="仿宋_GB2312" w:hAnsi="宋体" w:eastAsia="仿宋_GB2312" w:cs="宋体"/>
                <w:color w:val="000000"/>
                <w:kern w:val="0"/>
                <w:sz w:val="24"/>
                <w:szCs w:val="24"/>
              </w:rPr>
              <w:t xml:space="preserve">以新办、改建等形式加快建设政府办村卫生室，加快信息化改造，在医共体框架下实现乡级医疗机构对村卫生室人财物的统一管理，扩大医保定点覆盖面，规范化率达到 </w:t>
            </w:r>
            <w:r>
              <w:rPr>
                <w:rFonts w:ascii="Times New Roman" w:hAnsi="Times New Roman" w:eastAsia="宋体" w:cs="Times New Roman"/>
                <w:color w:val="000000"/>
                <w:kern w:val="0"/>
                <w:sz w:val="24"/>
                <w:szCs w:val="24"/>
              </w:rPr>
              <w:t>60%</w:t>
            </w:r>
            <w:r>
              <w:rPr>
                <w:rFonts w:hint="eastAsia" w:ascii="仿宋_GB2312" w:hAnsi="宋体" w:eastAsia="仿宋_GB2312" w:cs="宋体"/>
                <w:color w:val="000000"/>
                <w:kern w:val="0"/>
                <w:sz w:val="24"/>
                <w:szCs w:val="24"/>
              </w:rPr>
              <w:t xml:space="preserve">。 </w:t>
            </w:r>
          </w:p>
          <w:p>
            <w:pPr>
              <w:widowControl/>
              <w:spacing w:line="400" w:lineRule="exact"/>
              <w:ind w:firstLine="482" w:firstLineChars="200"/>
              <w:jc w:val="left"/>
              <w:rPr>
                <w:rFonts w:ascii="宋体" w:hAnsi="宋体" w:eastAsia="宋体" w:cs="宋体"/>
                <w:kern w:val="0"/>
                <w:sz w:val="24"/>
                <w:szCs w:val="24"/>
              </w:rPr>
            </w:pPr>
            <w:r>
              <w:rPr>
                <w:rFonts w:hint="eastAsia" w:ascii="仿宋_GB2312" w:hAnsi="宋体" w:eastAsia="仿宋_GB2312" w:cs="宋体"/>
                <w:b/>
                <w:color w:val="000000"/>
                <w:kern w:val="0"/>
                <w:sz w:val="24"/>
                <w:szCs w:val="24"/>
              </w:rPr>
              <w:t>社区医院建设。</w:t>
            </w:r>
            <w:r>
              <w:rPr>
                <w:rFonts w:hint="eastAsia" w:ascii="仿宋_GB2312" w:hAnsi="宋体" w:eastAsia="仿宋_GB2312" w:cs="宋体"/>
                <w:color w:val="000000"/>
                <w:kern w:val="0"/>
                <w:sz w:val="24"/>
                <w:szCs w:val="24"/>
              </w:rPr>
              <w:t>在现有社区卫生服务中心和有条件的乡镇卫生院的基础上，医疗服务能力达到一定水平的医疗机构，推进社区医院建设，提高门诊常见病、多发病的诊疗、护理、康复等服务，着力提升急诊抢救、正常分娩、儿科、产科、老年病等服务能力。加强住院服务能力建设，社区医院主要以老年、康复、护理、安宁疗护床位为主。</w:t>
            </w:r>
          </w:p>
        </w:tc>
      </w:tr>
    </w:tbl>
    <w:p>
      <w:pPr>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推进中医药传承发展。</w:t>
      </w:r>
      <w:r>
        <w:rPr>
          <w:rFonts w:hint="eastAsia" w:ascii="仿宋_GB2312" w:hAnsi="Times New Roman" w:eastAsia="仿宋_GB2312" w:cs="Times New Roman"/>
          <w:sz w:val="32"/>
          <w:szCs w:val="32"/>
        </w:rPr>
        <w:t>加强现代化中医强院建设，完成台州市中医院、黄岩区中医院、温岭市中医院、玉环市中医院、天台县中医院等医疗机构搬迁或改扩建工作，</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十四五</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期间力争台州市中医院创建成三级甲等中医医院，所有县级中医院达到二甲以上水平。推进基层中医药服务能力提升，加快中医医联体建设，推进医共体下的县域中医药服务一体化，力争所有社区卫生服务中心和乡镇卫生院均可提供中医药康复服务。提供中医药服务能力。加快培育中医药人才，全面实施中医药</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三名三进</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工程，提高中医药服务和医疗康复能力，推广中医药综合服务模式，广泛推广和运用中医药适宜技术。</w:t>
      </w:r>
    </w:p>
    <w:tbl>
      <w:tblPr>
        <w:tblStyle w:val="16"/>
        <w:tblW w:w="0" w:type="auto"/>
        <w:tblInd w:w="0" w:type="dxa"/>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shd w:val="clear" w:color="auto" w:fill="92CDDC" w:themeFill="accent5" w:themeFillTint="99"/>
          </w:tcPr>
          <w:p>
            <w:pPr>
              <w:rPr>
                <w:rFonts w:ascii="仿宋_GB2312" w:eastAsia="仿宋_GB2312" w:hAnsiTheme="minorEastAsia"/>
                <w:b/>
                <w:sz w:val="28"/>
                <w:szCs w:val="28"/>
              </w:rPr>
            </w:pPr>
            <w:r>
              <w:rPr>
                <w:rFonts w:hint="eastAsia" w:ascii="仿宋_GB2312" w:eastAsia="仿宋_GB2312" w:hAnsiTheme="minorEastAsia"/>
                <w:b/>
                <w:sz w:val="28"/>
                <w:szCs w:val="28"/>
              </w:rPr>
              <w:t>专栏6  中医药传承工程</w:t>
            </w: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tcPr>
          <w:p>
            <w:pPr>
              <w:widowControl/>
              <w:spacing w:line="400" w:lineRule="exact"/>
              <w:ind w:firstLine="482" w:firstLineChars="200"/>
              <w:jc w:val="left"/>
              <w:rPr>
                <w:rFonts w:ascii="宋体" w:hAnsi="宋体" w:eastAsia="宋体" w:cs="宋体"/>
                <w:kern w:val="0"/>
                <w:sz w:val="24"/>
                <w:szCs w:val="24"/>
              </w:rPr>
            </w:pPr>
            <w:r>
              <w:rPr>
                <w:rFonts w:hint="eastAsia" w:ascii="仿宋_GB2312" w:hAnsi="宋体" w:eastAsia="仿宋_GB2312" w:cs="宋体"/>
                <w:b/>
                <w:color w:val="000000"/>
                <w:kern w:val="0"/>
                <w:sz w:val="24"/>
                <w:szCs w:val="24"/>
              </w:rPr>
              <w:t>加强全市中医药传承创新发展政策保障。</w:t>
            </w:r>
            <w:r>
              <w:rPr>
                <w:rFonts w:hint="eastAsia" w:ascii="仿宋_GB2312" w:hAnsi="宋体" w:eastAsia="仿宋_GB2312" w:cs="宋体"/>
                <w:color w:val="000000"/>
                <w:kern w:val="0"/>
                <w:sz w:val="24"/>
                <w:szCs w:val="24"/>
              </w:rPr>
              <w:t xml:space="preserve">制订出台扶持和促进中医药发展的相关政策，设立中医药传承创新发展专项资金，促进中医药工作持续健康发展。加强对中医医院的医保政策倾斜与扶持，推动增加一批疗效确切的新中医诊疗服务项目设置并纳入医保支付，实行中医医保 </w:t>
            </w:r>
            <w:r>
              <w:rPr>
                <w:rFonts w:ascii="Times New Roman" w:hAnsi="Times New Roman" w:eastAsia="宋体" w:cs="Times New Roman"/>
                <w:color w:val="000000"/>
                <w:kern w:val="0"/>
                <w:sz w:val="24"/>
                <w:szCs w:val="24"/>
              </w:rPr>
              <w:t xml:space="preserve">DRGs </w:t>
            </w:r>
            <w:r>
              <w:rPr>
                <w:rFonts w:hint="eastAsia" w:ascii="仿宋_GB2312" w:hAnsi="宋体" w:eastAsia="仿宋_GB2312" w:cs="宋体"/>
                <w:color w:val="000000"/>
                <w:kern w:val="0"/>
                <w:sz w:val="24"/>
                <w:szCs w:val="24"/>
              </w:rPr>
              <w:t xml:space="preserve">支付方式改革。 </w:t>
            </w:r>
          </w:p>
          <w:p>
            <w:pPr>
              <w:widowControl/>
              <w:spacing w:line="400" w:lineRule="exact"/>
              <w:ind w:firstLine="482" w:firstLineChars="200"/>
              <w:jc w:val="left"/>
              <w:rPr>
                <w:rFonts w:ascii="宋体" w:hAnsi="宋体" w:eastAsia="宋体" w:cs="宋体"/>
                <w:kern w:val="0"/>
                <w:sz w:val="24"/>
                <w:szCs w:val="24"/>
              </w:rPr>
            </w:pPr>
            <w:r>
              <w:rPr>
                <w:rFonts w:hint="eastAsia" w:ascii="仿宋_GB2312" w:hAnsi="宋体" w:eastAsia="仿宋_GB2312" w:cs="宋体"/>
                <w:b/>
                <w:color w:val="000000"/>
                <w:kern w:val="0"/>
                <w:sz w:val="24"/>
                <w:szCs w:val="24"/>
              </w:rPr>
              <w:t>提升全市中医药科创能力。</w:t>
            </w:r>
            <w:r>
              <w:rPr>
                <w:rFonts w:hint="eastAsia" w:ascii="仿宋_GB2312" w:hAnsi="宋体" w:eastAsia="仿宋_GB2312" w:cs="宋体"/>
                <w:color w:val="000000"/>
                <w:kern w:val="0"/>
                <w:sz w:val="24"/>
                <w:szCs w:val="24"/>
              </w:rPr>
              <w:t>加强中医药长三角一体化建设，依托台州市中医院与上海中医药大学全面合作，成立上海中医药大学台州中医健康服务协同创新中心。加强中医药制剂的研制，总结推广</w:t>
            </w:r>
            <w:r>
              <w:rPr>
                <w:rFonts w:ascii="Times New Roman" w:hAnsi="Times New Roman" w:eastAsia="宋体" w:cs="Times New Roman"/>
                <w:color w:val="000000"/>
                <w:kern w:val="0"/>
                <w:sz w:val="24"/>
                <w:szCs w:val="24"/>
              </w:rPr>
              <w:t>“</w:t>
            </w:r>
            <w:r>
              <w:rPr>
                <w:rFonts w:hint="eastAsia" w:ascii="仿宋_GB2312" w:hAnsi="宋体" w:eastAsia="仿宋_GB2312" w:cs="宋体"/>
                <w:color w:val="000000"/>
                <w:kern w:val="0"/>
                <w:sz w:val="24"/>
                <w:szCs w:val="24"/>
              </w:rPr>
              <w:t>名医名方</w:t>
            </w:r>
            <w:r>
              <w:rPr>
                <w:rFonts w:ascii="Times New Roman" w:hAnsi="Times New Roman" w:eastAsia="宋体" w:cs="Times New Roman"/>
                <w:color w:val="000000"/>
                <w:kern w:val="0"/>
                <w:sz w:val="24"/>
                <w:szCs w:val="24"/>
              </w:rPr>
              <w:t>”</w:t>
            </w:r>
            <w:r>
              <w:rPr>
                <w:rFonts w:hint="eastAsia" w:ascii="仿宋_GB2312" w:hAnsi="宋体" w:eastAsia="仿宋_GB2312" w:cs="宋体"/>
                <w:color w:val="000000"/>
                <w:kern w:val="0"/>
                <w:sz w:val="24"/>
                <w:szCs w:val="24"/>
              </w:rPr>
              <w:t xml:space="preserve">。加强本土中草药的培植基地的开放，推动有技术能力、资质的企业开展中药外加工服务。 </w:t>
            </w:r>
          </w:p>
          <w:p>
            <w:pPr>
              <w:widowControl/>
              <w:spacing w:line="400" w:lineRule="exact"/>
              <w:ind w:firstLine="482" w:firstLineChars="200"/>
              <w:jc w:val="left"/>
              <w:rPr>
                <w:rFonts w:ascii="宋体" w:hAnsi="宋体" w:eastAsia="宋体" w:cs="宋体"/>
                <w:kern w:val="0"/>
                <w:sz w:val="24"/>
                <w:szCs w:val="24"/>
              </w:rPr>
            </w:pPr>
            <w:r>
              <w:rPr>
                <w:rFonts w:hint="eastAsia" w:ascii="仿宋_GB2312" w:hAnsi="宋体" w:eastAsia="仿宋_GB2312" w:cs="宋体"/>
                <w:b/>
                <w:color w:val="000000"/>
                <w:kern w:val="0"/>
                <w:sz w:val="24"/>
                <w:szCs w:val="24"/>
              </w:rPr>
              <w:t>健全中医医疗服务体系建设。</w:t>
            </w:r>
            <w:r>
              <w:rPr>
                <w:rFonts w:hint="eastAsia" w:ascii="仿宋_GB2312" w:hAnsi="宋体" w:eastAsia="仿宋_GB2312" w:cs="宋体"/>
                <w:color w:val="000000"/>
                <w:kern w:val="0"/>
                <w:sz w:val="24"/>
                <w:szCs w:val="24"/>
              </w:rPr>
              <w:t>以台州市区域中医医疗中心为龙头，各级各类中医医疗机构和其他医疗机构中医科为骨干，基层医疗机构为基础，融中医治未病、康复、护理、预防保健于一体，推进中医药综合服务。发挥中医药特点，增强疫病救治参与度，建设全市中医疫病基地。加强中医药人才培养。依托台州市中医院、温岭市中医院，建立台州市中医技能培训中心。鼓励中医药博士、硕士人才引进，予以引进政策倾斜。</w:t>
            </w:r>
          </w:p>
        </w:tc>
      </w:tr>
    </w:tbl>
    <w:p>
      <w:pPr>
        <w:spacing w:beforeLines="50"/>
        <w:ind w:firstLine="643" w:firstLineChars="200"/>
        <w:outlineLvl w:val="2"/>
        <w:rPr>
          <w:rFonts w:ascii="仿宋_GB2312" w:hAnsi="Times New Roman" w:eastAsia="仿宋_GB2312" w:cs="Times New Roman"/>
          <w:b/>
          <w:sz w:val="32"/>
          <w:szCs w:val="32"/>
        </w:rPr>
      </w:pPr>
      <w:bookmarkStart w:id="24" w:name="_Toc68980531"/>
      <w:bookmarkStart w:id="25" w:name="_Toc69259723"/>
      <w:r>
        <w:rPr>
          <w:rFonts w:hint="eastAsia" w:ascii="仿宋_GB2312" w:hAnsi="Times New Roman" w:eastAsia="仿宋_GB2312" w:cs="Times New Roman"/>
          <w:b/>
          <w:sz w:val="32"/>
          <w:szCs w:val="32"/>
        </w:rPr>
        <w:t>3、完善活力普惠文体服务</w:t>
      </w:r>
      <w:bookmarkEnd w:id="24"/>
      <w:bookmarkEnd w:id="25"/>
    </w:p>
    <w:p>
      <w:pPr>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完善公共文化服务体系。</w:t>
      </w:r>
      <w:r>
        <w:rPr>
          <w:rFonts w:hint="eastAsia" w:ascii="仿宋_GB2312" w:hAnsi="Times New Roman" w:eastAsia="仿宋_GB2312" w:cs="Times New Roman"/>
          <w:sz w:val="32"/>
          <w:szCs w:val="32"/>
        </w:rPr>
        <w:t>大力推动国家公共文化服务体系示范区创新发展，推进台州大剧院、台州美术馆等建设。开发公园、广场、地铁、高铁等新兴文化空间潜能，建成一批城市艺术空间，浓郁城市文化氛围。推进公共文化资源向基层倾斜，集中建设一批具有典范性、地域特色鲜明的街道综合文化站、农村文化礼堂、书院书屋等精品工程。广泛开展惠民文化活动，常态化、品牌化、社会化推动文艺人才和团队深入新时代文明实践中心、文化礼堂开展惠民服务。加快推进公共文化数字化建设，完善“台州文化云”等数字平台，实施文化馆、博物馆、图书馆互联网提升工程。深化“台州文化年”品牌内涵，举办特色鲜明的“文化四季”活动。推进台州非遗特色产业集群培育，加强黄岩沙埠窑、仙居下汤遗址公园、章安郡等重点遗址的保护和开发。</w:t>
      </w:r>
    </w:p>
    <w:p>
      <w:pPr>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提升文化影响力。</w:t>
      </w:r>
      <w:r>
        <w:rPr>
          <w:rFonts w:hint="eastAsia" w:ascii="仿宋_GB2312" w:hAnsi="Times New Roman" w:eastAsia="仿宋_GB2312" w:cs="Times New Roman"/>
          <w:sz w:val="32"/>
          <w:szCs w:val="32"/>
        </w:rPr>
        <w:t>深入挖掘大陈岛垦荒精神、天台山和合文化、浙东唐诗之路等内涵和时代价值，打造独具台州特色的文化品牌。推进文艺精品创作，着力推动舞蹈诗《大陈岛》、大型音画组歌《江山天骄》、大型民族管弦乐原创作品音乐会上海演出等一批精品文艺创作和活动，努力打造1-2部在全国有影响力的文化精品。推进文化基因解码工程，打造一批文化基因艺术创作、旅游商品，积极培育一批文化基因转化发展示范项目和示范镇（街道）。推动临海古长城“中国明清城墙”联合申遗，推进天台山佛宗道源、唐诗之路、和合文化等申报世界非物质文化遗产。推动文化“走出去”，推进和合文化的国际交流合作，打造台州乱弹等1-2个对外文艺精品项目。</w:t>
      </w:r>
    </w:p>
    <w:tbl>
      <w:tblPr>
        <w:tblStyle w:val="16"/>
        <w:tblW w:w="0" w:type="auto"/>
        <w:tblInd w:w="0" w:type="dxa"/>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shd w:val="clear" w:color="auto" w:fill="92CDDC" w:themeFill="accent5" w:themeFillTint="99"/>
          </w:tcPr>
          <w:p>
            <w:pPr>
              <w:rPr>
                <w:rFonts w:ascii="仿宋_GB2312" w:eastAsia="仿宋_GB2312" w:hAnsiTheme="minorEastAsia"/>
                <w:b/>
                <w:sz w:val="28"/>
                <w:szCs w:val="28"/>
              </w:rPr>
            </w:pPr>
            <w:r>
              <w:rPr>
                <w:rFonts w:hint="eastAsia" w:ascii="仿宋_GB2312" w:eastAsia="仿宋_GB2312" w:hAnsiTheme="minorEastAsia"/>
                <w:b/>
                <w:sz w:val="28"/>
                <w:szCs w:val="28"/>
              </w:rPr>
              <w:t>专栏7  文化体系建设标志性工程</w:t>
            </w: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tcPr>
          <w:p>
            <w:pPr>
              <w:snapToGrid w:val="0"/>
              <w:spacing w:line="400" w:lineRule="exact"/>
              <w:ind w:firstLine="422" w:firstLineChars="200"/>
              <w:rPr>
                <w:rFonts w:ascii="宋体" w:hAnsi="宋体"/>
                <w:bCs/>
                <w:color w:val="000000"/>
              </w:rPr>
            </w:pPr>
            <w:r>
              <w:rPr>
                <w:rFonts w:ascii="宋体" w:hAnsi="宋体"/>
                <w:b/>
                <w:bCs/>
                <w:color w:val="000000"/>
              </w:rPr>
              <w:t>城市精神标识</w:t>
            </w:r>
            <w:r>
              <w:rPr>
                <w:rFonts w:hint="eastAsia" w:ascii="宋体" w:hAnsi="宋体"/>
                <w:b/>
                <w:bCs/>
                <w:color w:val="000000"/>
              </w:rPr>
              <w:t>工程</w:t>
            </w:r>
            <w:r>
              <w:rPr>
                <w:rFonts w:ascii="宋体" w:hAnsi="宋体"/>
                <w:b/>
                <w:bCs/>
                <w:color w:val="000000"/>
              </w:rPr>
              <w:t>。</w:t>
            </w:r>
            <w:r>
              <w:rPr>
                <w:rFonts w:ascii="宋体" w:hAnsi="宋体"/>
                <w:bCs/>
                <w:color w:val="000000"/>
              </w:rPr>
              <w:t>深入推进“垦荒精神立心”工程，推动大陈岛垦荒精神在更高层面、更广范围传承弘扬。</w:t>
            </w:r>
            <w:r>
              <w:rPr>
                <w:rFonts w:hint="eastAsia" w:ascii="宋体" w:hAnsi="宋体"/>
                <w:bCs/>
                <w:color w:val="000000"/>
              </w:rPr>
              <w:t>推出一批影视作品、系列丛书等，</w:t>
            </w:r>
            <w:r>
              <w:rPr>
                <w:rFonts w:ascii="宋体" w:hAnsi="宋体"/>
                <w:bCs/>
                <w:color w:val="000000"/>
              </w:rPr>
              <w:t>加快大陈岛红色旅游项目开发建设。</w:t>
            </w:r>
          </w:p>
          <w:p>
            <w:pPr>
              <w:snapToGrid w:val="0"/>
              <w:spacing w:line="400" w:lineRule="exact"/>
              <w:ind w:firstLine="422" w:firstLineChars="200"/>
              <w:rPr>
                <w:rFonts w:ascii="宋体" w:hAnsi="宋体"/>
                <w:bCs/>
                <w:color w:val="000000"/>
              </w:rPr>
            </w:pPr>
            <w:r>
              <w:rPr>
                <w:rFonts w:ascii="宋体" w:hAnsi="宋体"/>
                <w:b/>
                <w:bCs/>
                <w:color w:val="000000"/>
              </w:rPr>
              <w:t>优秀传统文化</w:t>
            </w:r>
            <w:r>
              <w:rPr>
                <w:rFonts w:hint="eastAsia" w:ascii="宋体" w:hAnsi="宋体"/>
                <w:b/>
                <w:bCs/>
                <w:color w:val="000000"/>
              </w:rPr>
              <w:t>工程</w:t>
            </w:r>
            <w:r>
              <w:rPr>
                <w:rFonts w:ascii="宋体" w:hAnsi="宋体"/>
                <w:b/>
                <w:bCs/>
                <w:color w:val="000000"/>
              </w:rPr>
              <w:t>。</w:t>
            </w:r>
            <w:r>
              <w:rPr>
                <w:rFonts w:ascii="宋体" w:hAnsi="宋体"/>
                <w:bCs/>
                <w:color w:val="000000"/>
              </w:rPr>
              <w:t>持续擦亮“和合圣地”等金名片，推进和合小镇建设，以和合论坛为中心，布局和合乐园等文旅产业项目。推进非遗文创街等项目建设。</w:t>
            </w:r>
          </w:p>
          <w:p>
            <w:pPr>
              <w:snapToGrid w:val="0"/>
              <w:spacing w:line="400" w:lineRule="exact"/>
              <w:ind w:firstLine="422" w:firstLineChars="200"/>
              <w:rPr>
                <w:rFonts w:ascii="宋体" w:hAnsi="宋体"/>
                <w:bCs/>
                <w:color w:val="000000"/>
              </w:rPr>
            </w:pPr>
            <w:r>
              <w:rPr>
                <w:rFonts w:ascii="宋体" w:hAnsi="宋体"/>
                <w:b/>
                <w:bCs/>
                <w:color w:val="000000"/>
              </w:rPr>
              <w:t>公共文化设施</w:t>
            </w:r>
            <w:r>
              <w:rPr>
                <w:rFonts w:hint="eastAsia" w:ascii="宋体" w:hAnsi="宋体"/>
                <w:b/>
                <w:bCs/>
                <w:color w:val="000000"/>
              </w:rPr>
              <w:t>工程</w:t>
            </w:r>
            <w:r>
              <w:rPr>
                <w:rFonts w:ascii="宋体" w:hAnsi="宋体"/>
                <w:b/>
                <w:bCs/>
                <w:color w:val="000000"/>
              </w:rPr>
              <w:t>。</w:t>
            </w:r>
            <w:r>
              <w:rPr>
                <w:rFonts w:ascii="宋体" w:hAnsi="宋体"/>
                <w:bCs/>
                <w:color w:val="000000"/>
              </w:rPr>
              <w:t>对标市级“五馆一院”</w:t>
            </w:r>
            <w:r>
              <w:rPr>
                <w:rFonts w:hint="eastAsia" w:ascii="宋体" w:hAnsi="宋体"/>
                <w:bCs/>
                <w:color w:val="000000"/>
              </w:rPr>
              <w:t>、</w:t>
            </w:r>
            <w:r>
              <w:rPr>
                <w:rFonts w:ascii="宋体" w:hAnsi="宋体"/>
                <w:bCs/>
                <w:color w:val="000000"/>
              </w:rPr>
              <w:t>县级“四馆一院”</w:t>
            </w:r>
            <w:r>
              <w:rPr>
                <w:rFonts w:hint="eastAsia" w:ascii="宋体" w:hAnsi="宋体"/>
                <w:bCs/>
                <w:color w:val="000000"/>
              </w:rPr>
              <w:t>、</w:t>
            </w:r>
            <w:r>
              <w:rPr>
                <w:rFonts w:ascii="宋体" w:hAnsi="宋体"/>
                <w:bCs/>
                <w:color w:val="000000"/>
              </w:rPr>
              <w:t>乡镇（街道）“综合文化站”</w:t>
            </w:r>
            <w:r>
              <w:rPr>
                <w:rFonts w:hint="eastAsia" w:ascii="宋体" w:hAnsi="宋体"/>
                <w:bCs/>
                <w:color w:val="000000"/>
              </w:rPr>
              <w:t>配套</w:t>
            </w:r>
            <w:r>
              <w:rPr>
                <w:rFonts w:ascii="宋体" w:hAnsi="宋体"/>
                <w:bCs/>
                <w:color w:val="000000"/>
              </w:rPr>
              <w:t>要求，统筹推进城乡公共文化服务体系一体建设，提供高标准、高规格群众性文化活动阵地。推进台州大剧院、台州美术馆、新时代文明实践中心和农村文化礼堂等建设。</w:t>
            </w:r>
          </w:p>
          <w:p>
            <w:pPr>
              <w:widowControl/>
              <w:spacing w:line="400" w:lineRule="exact"/>
              <w:ind w:firstLine="422" w:firstLineChars="200"/>
              <w:jc w:val="left"/>
              <w:rPr>
                <w:rFonts w:ascii="宋体" w:hAnsi="宋体" w:eastAsia="宋体" w:cs="宋体"/>
                <w:kern w:val="0"/>
                <w:sz w:val="24"/>
                <w:szCs w:val="24"/>
              </w:rPr>
            </w:pPr>
            <w:r>
              <w:rPr>
                <w:rFonts w:ascii="宋体" w:hAnsi="宋体"/>
                <w:b/>
                <w:bCs/>
                <w:color w:val="000000"/>
              </w:rPr>
              <w:t>数字文化产业</w:t>
            </w:r>
            <w:r>
              <w:rPr>
                <w:rFonts w:hint="eastAsia" w:ascii="宋体" w:hAnsi="宋体"/>
                <w:b/>
                <w:bCs/>
                <w:color w:val="000000"/>
              </w:rPr>
              <w:t>工程</w:t>
            </w:r>
            <w:r>
              <w:rPr>
                <w:rFonts w:ascii="宋体" w:hAnsi="宋体"/>
                <w:b/>
                <w:bCs/>
                <w:color w:val="000000"/>
              </w:rPr>
              <w:t>。</w:t>
            </w:r>
            <w:r>
              <w:rPr>
                <w:rFonts w:ascii="宋体" w:hAnsi="宋体"/>
                <w:bCs/>
                <w:color w:val="000000"/>
              </w:rPr>
              <w:t>培育打造以数字技术、数字内容为核心的新型文化产业，让文化和科技在融合中催生新业态、延伸产业链、集聚创新人才。重点推进台州直播城等项目建设，加速网红经济+新零售产业的发展。</w:t>
            </w:r>
          </w:p>
        </w:tc>
      </w:tr>
    </w:tbl>
    <w:p>
      <w:pPr>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拓展文旅融合深度。</w:t>
      </w:r>
      <w:r>
        <w:rPr>
          <w:rFonts w:ascii="Times New Roman" w:hAnsi="Times New Roman" w:eastAsia="仿宋_GB2312" w:cs="Times New Roman"/>
          <w:sz w:val="32"/>
          <w:szCs w:val="32"/>
        </w:rPr>
        <w:t>全方位、多领域推进文化和旅游的深度融合，创新开发“红色文化+旅游”“非遗文化+旅游”“海洋文化+旅游”“文化演艺+旅游”等特色产品，</w:t>
      </w:r>
      <w:r>
        <w:rPr>
          <w:rFonts w:hint="eastAsia" w:ascii="仿宋_GB2312" w:hAnsi="宋体" w:eastAsia="仿宋_GB2312" w:cs="宋体"/>
          <w:color w:val="000000"/>
          <w:kern w:val="0"/>
          <w:sz w:val="32"/>
          <w:szCs w:val="32"/>
        </w:rPr>
        <w:t>不断丰富文旅融合的产品业态，</w:t>
      </w:r>
      <w:r>
        <w:rPr>
          <w:rFonts w:ascii="Times New Roman" w:hAnsi="Times New Roman" w:eastAsia="仿宋_GB2312" w:cs="Times New Roman"/>
          <w:sz w:val="32"/>
          <w:szCs w:val="32"/>
        </w:rPr>
        <w:t>打造全省文化和旅游融合发展高地。依托大陈、蛇蟠、东矶、大鹿四大海岛公园建设，将滨海和海岛文化旅游资源串联成线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积极推动大陈岛争创“全国红色旅游第一岛”，打造滨海休闲文化旅游带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挖掘提升天台山、神仙居两大名山公园的文化内涵，持续擦亮唐诗古道、寒山古道、台州府城等诗路“珍珠”，蓄力打造浙东唐诗之路目的地和佛道名山旅游带。</w:t>
      </w:r>
      <w:r>
        <w:rPr>
          <w:rFonts w:hint="eastAsia" w:ascii="仿宋_GB2312" w:eastAsia="仿宋_GB2312"/>
          <w:color w:val="000000"/>
          <w:sz w:val="32"/>
          <w:szCs w:val="32"/>
        </w:rPr>
        <w:t>推进椒（灵）江生态旅游区建设，加强区域生态旅游联盟协作。</w:t>
      </w:r>
    </w:p>
    <w:tbl>
      <w:tblPr>
        <w:tblStyle w:val="16"/>
        <w:tblW w:w="0" w:type="auto"/>
        <w:tblInd w:w="0" w:type="dxa"/>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shd w:val="clear" w:color="auto" w:fill="92CDDC" w:themeFill="accent5" w:themeFillTint="99"/>
          </w:tcPr>
          <w:p>
            <w:pPr>
              <w:rPr>
                <w:rFonts w:ascii="仿宋_GB2312" w:eastAsia="仿宋_GB2312" w:hAnsiTheme="minorEastAsia"/>
                <w:b/>
                <w:sz w:val="28"/>
                <w:szCs w:val="28"/>
              </w:rPr>
            </w:pPr>
            <w:r>
              <w:rPr>
                <w:rFonts w:hint="eastAsia" w:ascii="仿宋_GB2312" w:eastAsia="仿宋_GB2312" w:hAnsiTheme="minorEastAsia"/>
                <w:b/>
                <w:sz w:val="28"/>
                <w:szCs w:val="28"/>
              </w:rPr>
              <w:t>专栏8  文旅融合重点平台</w:t>
            </w: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tcPr>
          <w:p>
            <w:pPr>
              <w:snapToGrid w:val="0"/>
              <w:spacing w:line="400" w:lineRule="exact"/>
              <w:ind w:firstLine="422" w:firstLineChars="200"/>
              <w:rPr>
                <w:rFonts w:ascii="宋体" w:hAnsi="宋体"/>
                <w:color w:val="000000"/>
              </w:rPr>
            </w:pPr>
            <w:r>
              <w:rPr>
                <w:rFonts w:ascii="宋体" w:hAnsi="宋体"/>
                <w:b/>
                <w:bCs/>
                <w:color w:val="000000"/>
              </w:rPr>
              <w:t>1.大陈岛“全国红色旅游第一岛”</w:t>
            </w:r>
            <w:r>
              <w:rPr>
                <w:rFonts w:ascii="宋体" w:hAnsi="宋体"/>
                <w:color w:val="000000"/>
              </w:rPr>
              <w:t>。创建国家级党性教育和爱国主义教育基地、海峡两岸交流基地、企业员工和工会会员疗养培训基地；建设博物馆群和特色文化街区</w:t>
            </w:r>
            <w:r>
              <w:rPr>
                <w:rFonts w:hint="eastAsia" w:ascii="宋体" w:hAnsi="宋体"/>
                <w:color w:val="000000"/>
              </w:rPr>
              <w:t>、</w:t>
            </w:r>
            <w:r>
              <w:rPr>
                <w:rFonts w:ascii="宋体" w:hAnsi="宋体"/>
                <w:color w:val="000000"/>
              </w:rPr>
              <w:t>通用机场，争取国际邮轮停泊点。建设“一带一路”国际海上应急救援基地；开设对台小额商品交易市场，设立免税店，对携带限额</w:t>
            </w:r>
            <w:r>
              <w:rPr>
                <w:rFonts w:hint="eastAsia" w:ascii="宋体" w:hAnsi="宋体"/>
                <w:color w:val="000000"/>
              </w:rPr>
              <w:t>内</w:t>
            </w:r>
            <w:r>
              <w:rPr>
                <w:rFonts w:ascii="宋体" w:hAnsi="宋体"/>
                <w:color w:val="000000"/>
              </w:rPr>
              <w:t>商品免征进口关税和进口环节海关代征税。</w:t>
            </w:r>
          </w:p>
          <w:p>
            <w:pPr>
              <w:snapToGrid w:val="0"/>
              <w:spacing w:line="400" w:lineRule="exact"/>
              <w:ind w:firstLine="422" w:firstLineChars="200"/>
              <w:rPr>
                <w:rFonts w:ascii="宋体" w:hAnsi="宋体"/>
                <w:color w:val="000000"/>
              </w:rPr>
            </w:pPr>
            <w:r>
              <w:rPr>
                <w:rFonts w:ascii="宋体" w:hAnsi="宋体"/>
                <w:b/>
                <w:bCs/>
                <w:color w:val="000000"/>
              </w:rPr>
              <w:t>2.浙东唐诗之路目的地</w:t>
            </w:r>
            <w:r>
              <w:rPr>
                <w:rFonts w:ascii="宋体" w:hAnsi="宋体"/>
                <w:color w:val="000000"/>
              </w:rPr>
              <w:t>。培育天台山、神仙居、台州府城等诗路“珍珠”，并串“珠”成链，打造“山海台州”最靓丽风景线、浙东唐诗之路文化深度体验旅游目的地。在古城名镇名村、高能级景区、名山公园、海岛公园、遗址公园、产业平台、人文水脉、森林古道等多领域，打造一批国内外兼具美誉度和影响力的耀眼明珠，</w:t>
            </w:r>
            <w:r>
              <w:rPr>
                <w:rFonts w:hint="eastAsia" w:ascii="宋体" w:hAnsi="宋体"/>
                <w:color w:val="000000"/>
              </w:rPr>
              <w:t>重点</w:t>
            </w:r>
            <w:r>
              <w:rPr>
                <w:rFonts w:ascii="宋体" w:hAnsi="宋体"/>
                <w:color w:val="000000"/>
              </w:rPr>
              <w:t>推进章安古城、天台云端唐诗旅游集聚区、张思村、皤滩古镇、下汤遗址公园等耀眼明珠建设。</w:t>
            </w:r>
          </w:p>
          <w:p>
            <w:pPr>
              <w:snapToGrid w:val="0"/>
              <w:spacing w:line="400" w:lineRule="exact"/>
              <w:ind w:firstLine="422" w:firstLineChars="200"/>
              <w:rPr>
                <w:rFonts w:ascii="宋体" w:hAnsi="宋体"/>
                <w:color w:val="000000"/>
              </w:rPr>
            </w:pPr>
            <w:r>
              <w:rPr>
                <w:rFonts w:hint="eastAsia" w:ascii="宋体" w:hAnsi="宋体"/>
                <w:b/>
                <w:color w:val="000000"/>
              </w:rPr>
              <w:t>3</w:t>
            </w:r>
            <w:r>
              <w:rPr>
                <w:rFonts w:ascii="宋体" w:hAnsi="宋体"/>
                <w:b/>
                <w:color w:val="000000"/>
              </w:rPr>
              <w:t>.椒（灵）江生态旅游区。</w:t>
            </w:r>
            <w:r>
              <w:rPr>
                <w:rFonts w:ascii="宋体" w:hAnsi="宋体"/>
                <w:color w:val="000000"/>
              </w:rPr>
              <w:t>深入挖掘椒（灵）江流域优势旅游资源，大力推进旅游集聚区、旅游类特色小镇等旅游集聚发展平台建设，串联景点、看点和卖点，加快资源整合，建立健全旅游产品体系，不断完善功能配套，持续提高生态效益，打造流域旅游品牌，成为省河流流域旅游格局的重要组成部分。</w:t>
            </w:r>
          </w:p>
          <w:p>
            <w:pPr>
              <w:snapToGrid w:val="0"/>
              <w:spacing w:line="400" w:lineRule="exact"/>
              <w:ind w:firstLine="422" w:firstLineChars="200"/>
              <w:rPr>
                <w:rFonts w:ascii="宋体" w:hAnsi="宋体"/>
                <w:color w:val="000000"/>
              </w:rPr>
            </w:pPr>
            <w:r>
              <w:rPr>
                <w:rFonts w:hint="eastAsia" w:ascii="宋体" w:hAnsi="宋体"/>
                <w:b/>
                <w:color w:val="000000"/>
              </w:rPr>
              <w:t>4</w:t>
            </w:r>
            <w:r>
              <w:rPr>
                <w:rFonts w:ascii="宋体" w:hAnsi="宋体"/>
                <w:b/>
                <w:color w:val="000000"/>
              </w:rPr>
              <w:t>.滨海旅游功能区。</w:t>
            </w:r>
            <w:r>
              <w:rPr>
                <w:rFonts w:ascii="宋体" w:hAnsi="宋体"/>
                <w:color w:val="000000"/>
              </w:rPr>
              <w:t>优化整合滨海旅游发展空间，编制专项规划，划定一批旅游主导功能区，建设三门湾旅游联动发展区、乐清湾旅游联动发展区、</w:t>
            </w:r>
            <w:bookmarkStart w:id="26" w:name="_Hlk61941923"/>
            <w:r>
              <w:rPr>
                <w:rFonts w:ascii="宋体" w:hAnsi="宋体"/>
                <w:color w:val="000000"/>
              </w:rPr>
              <w:t>路桥黄礁岛生态旅游度假区</w:t>
            </w:r>
            <w:bookmarkEnd w:id="26"/>
            <w:r>
              <w:rPr>
                <w:rFonts w:ascii="宋体" w:hAnsi="宋体"/>
                <w:color w:val="000000"/>
              </w:rPr>
              <w:t>、临海白沙湾旅游度假区、石塘半岛旅游度假区、台州湾新区旅游度假区等一批标志性项目。</w:t>
            </w:r>
          </w:p>
          <w:p>
            <w:pPr>
              <w:spacing w:line="400" w:lineRule="exact"/>
              <w:ind w:firstLine="422" w:firstLineChars="200"/>
              <w:rPr>
                <w:rFonts w:ascii="宋体" w:hAnsi="宋体"/>
                <w:b/>
                <w:color w:val="000000"/>
                <w:sz w:val="32"/>
                <w:szCs w:val="32"/>
              </w:rPr>
            </w:pPr>
            <w:r>
              <w:rPr>
                <w:rFonts w:hint="eastAsia" w:ascii="宋体" w:hAnsi="宋体"/>
                <w:b/>
                <w:color w:val="000000"/>
              </w:rPr>
              <w:t>5</w:t>
            </w:r>
            <w:r>
              <w:rPr>
                <w:rFonts w:ascii="宋体" w:hAnsi="宋体"/>
                <w:b/>
                <w:color w:val="000000"/>
              </w:rPr>
              <w:t>.海岛公园。</w:t>
            </w:r>
            <w:r>
              <w:rPr>
                <w:rFonts w:ascii="宋体" w:hAnsi="宋体"/>
                <w:color w:val="000000"/>
              </w:rPr>
              <w:t>建设大陈、东矶、大鹿、蛇蟠4个海岛公园，提升美丽海岛风貌，开发海岛公园主题IP和产品，打造海岛公园旅游精品线路，推进陆岛协同发展。</w:t>
            </w:r>
          </w:p>
        </w:tc>
      </w:tr>
    </w:tbl>
    <w:p>
      <w:pPr>
        <w:spacing w:beforeLines="50"/>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大力发展体育事业。</w:t>
      </w:r>
      <w:r>
        <w:rPr>
          <w:rFonts w:hint="eastAsia" w:ascii="仿宋_GB2312" w:hAnsi="Times New Roman" w:eastAsia="仿宋_GB2312" w:cs="Times New Roman"/>
          <w:sz w:val="32"/>
          <w:szCs w:val="32"/>
        </w:rPr>
        <w:t>推进体育设施网络化建设，加快市本级体育馆及全民健身中心建设，充分利用公园、绿地、广场等公共场所，建设简捷便利的公共体育设施，到2025年，人均公共体育场地设施面积达到2.8平方米。推进公共体育场馆对外开放，率先在全省建立“10分钟健身圈”。大力完善全民健身服务体系，加强“百姓健身房”建设，全面接入全民健身公共服务系统2.0，着力打造台州国际马拉松、台州市体育大会、市民健身运动会等一批健身活动品牌，市民体质监测合格率达90%以上。全面提高竞技体育水平，巩固挖掘我市优势项目，争取国家级、省级品牌赛事落户台州，重点</w:t>
      </w:r>
      <w:r>
        <w:rPr>
          <w:rFonts w:hint="eastAsia" w:ascii="Times New Roman" w:hAnsi="Times New Roman" w:eastAsia="仿宋_GB2312" w:cs="Times New Roman"/>
          <w:bCs/>
          <w:color w:val="000000" w:themeColor="text1"/>
          <w:sz w:val="32"/>
          <w:szCs w:val="32"/>
          <w14:textFill>
            <w14:solidFill>
              <w14:schemeClr w14:val="tx1"/>
            </w14:solidFill>
          </w14:textFill>
        </w:rPr>
        <w:t>支持“柴古唐斯·括苍越野赛”发展成国际重大体育赛事，</w:t>
      </w:r>
      <w:r>
        <w:rPr>
          <w:rFonts w:hint="eastAsia" w:ascii="仿宋_GB2312" w:hAnsi="Times New Roman" w:eastAsia="仿宋_GB2312" w:cs="Times New Roman"/>
          <w:sz w:val="32"/>
          <w:szCs w:val="32"/>
        </w:rPr>
        <w:t>力争竞技体育成绩处于全省第二集团“领头羊”位置。</w:t>
      </w:r>
    </w:p>
    <w:p>
      <w:pPr>
        <w:ind w:firstLine="643" w:firstLineChars="200"/>
        <w:jc w:val="left"/>
        <w:outlineLvl w:val="1"/>
        <w:rPr>
          <w:rFonts w:ascii="仿宋_GB2312" w:eastAsia="仿宋_GB2312"/>
          <w:b/>
          <w:sz w:val="32"/>
          <w:szCs w:val="32"/>
        </w:rPr>
      </w:pPr>
      <w:bookmarkStart w:id="27" w:name="_Toc68980532"/>
      <w:bookmarkStart w:id="28" w:name="_Toc69259724"/>
      <w:r>
        <w:rPr>
          <w:rFonts w:hint="eastAsia" w:ascii="仿宋_GB2312" w:eastAsia="仿宋_GB2312"/>
          <w:b/>
          <w:sz w:val="32"/>
          <w:szCs w:val="32"/>
        </w:rPr>
        <w:t>（三）社会保障“亲民”行动</w:t>
      </w:r>
      <w:bookmarkEnd w:id="27"/>
      <w:bookmarkEnd w:id="28"/>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秉承“亲民”理念，按</w:t>
      </w:r>
      <w:r>
        <w:rPr>
          <w:rFonts w:hint="eastAsia" w:ascii="仿宋_GB2312" w:eastAsia="仿宋_GB2312" w:cs="Times New Roman" w:hAnsiTheme="minorEastAsia"/>
          <w:sz w:val="32"/>
          <w:szCs w:val="32"/>
        </w:rPr>
        <w:t>照</w:t>
      </w:r>
      <w:r>
        <w:rPr>
          <w:rFonts w:hint="eastAsia" w:ascii="仿宋_GB2312" w:hAnsi="Times New Roman" w:eastAsia="仿宋_GB2312" w:cs="Times New Roman"/>
          <w:sz w:val="32"/>
          <w:szCs w:val="32"/>
        </w:rPr>
        <w:t>“</w:t>
      </w:r>
      <w:r>
        <w:rPr>
          <w:rFonts w:hint="eastAsia" w:ascii="仿宋_GB2312" w:eastAsia="仿宋_GB2312" w:cs="Times New Roman" w:hAnsiTheme="minorEastAsia"/>
          <w:sz w:val="32"/>
          <w:szCs w:val="32"/>
        </w:rPr>
        <w:t>保基本、全覆盖、多层次、可持续</w:t>
      </w:r>
      <w:r>
        <w:rPr>
          <w:rFonts w:hint="eastAsia" w:ascii="仿宋_GB2312" w:hAnsi="Times New Roman" w:eastAsia="仿宋_GB2312" w:cs="Times New Roman"/>
          <w:sz w:val="32"/>
          <w:szCs w:val="32"/>
        </w:rPr>
        <w:t>”</w:t>
      </w:r>
      <w:r>
        <w:rPr>
          <w:rFonts w:hint="eastAsia" w:ascii="仿宋_GB2312" w:eastAsia="仿宋_GB2312" w:cs="Times New Roman" w:hAnsiTheme="minorEastAsia"/>
          <w:sz w:val="32"/>
          <w:szCs w:val="32"/>
        </w:rPr>
        <w:t>的原</w:t>
      </w:r>
      <w:r>
        <w:rPr>
          <w:rFonts w:hint="eastAsia" w:ascii="仿宋_GB2312" w:eastAsia="仿宋_GB2312" w:hAnsiTheme="minorEastAsia"/>
          <w:sz w:val="32"/>
          <w:szCs w:val="32"/>
        </w:rPr>
        <w:t>则，围绕就业创业、社会保险、养老保障、住房保障、社会福利、社会救助等重点，建立健全城乡一体化、服务均等化、管理精细化的社会保障体系。</w:t>
      </w:r>
    </w:p>
    <w:p>
      <w:pPr>
        <w:ind w:firstLine="643" w:firstLineChars="200"/>
        <w:outlineLvl w:val="2"/>
        <w:rPr>
          <w:rFonts w:ascii="仿宋_GB2312" w:hAnsi="Times New Roman" w:eastAsia="仿宋_GB2312" w:cs="Times New Roman"/>
          <w:b/>
          <w:sz w:val="32"/>
          <w:szCs w:val="32"/>
        </w:rPr>
      </w:pPr>
      <w:bookmarkStart w:id="29" w:name="_Toc68980533"/>
      <w:bookmarkStart w:id="30" w:name="_Toc69259725"/>
      <w:r>
        <w:rPr>
          <w:rFonts w:hint="eastAsia" w:ascii="仿宋_GB2312" w:hAnsi="Times New Roman" w:eastAsia="仿宋_GB2312" w:cs="Times New Roman"/>
          <w:b/>
          <w:sz w:val="32"/>
          <w:szCs w:val="32"/>
        </w:rPr>
        <w:t>1、完善婴幼保障</w:t>
      </w:r>
      <w:bookmarkEnd w:id="29"/>
      <w:bookmarkEnd w:id="30"/>
    </w:p>
    <w:p>
      <w:pPr>
        <w:ind w:firstLine="643" w:firstLineChars="200"/>
        <w:rPr>
          <w:rFonts w:ascii="宋体" w:hAnsi="宋体" w:eastAsia="宋体" w:cs="宋体"/>
          <w:kern w:val="0"/>
          <w:sz w:val="24"/>
          <w:szCs w:val="24"/>
        </w:rPr>
      </w:pPr>
      <w:r>
        <w:rPr>
          <w:rFonts w:hint="eastAsia" w:ascii="仿宋_GB2312" w:hAnsi="Calibri" w:eastAsia="仿宋_GB2312" w:cs="Times New Roman"/>
          <w:b/>
          <w:sz w:val="32"/>
          <w:szCs w:val="32"/>
        </w:rPr>
        <w:t>完善托幼服务。</w:t>
      </w:r>
      <w:r>
        <w:rPr>
          <w:rFonts w:hint="eastAsia" w:ascii="仿宋_GB2312" w:hAnsi="宋体" w:eastAsia="仿宋_GB2312" w:cs="宋体"/>
          <w:color w:val="000000"/>
          <w:kern w:val="0"/>
          <w:sz w:val="32"/>
          <w:szCs w:val="32"/>
        </w:rPr>
        <w:t>多渠道加大资源有效供给，不断创新家庭照护、社区统筹、幼儿园托班、单位自建、社会兴办等婴幼儿照护服务模式，构建政府引导、部门参与、主体多元、管理规范、服务优质的婴幼儿照护服务体系，到</w:t>
      </w:r>
      <w:r>
        <w:rPr>
          <w:rFonts w:ascii="Times New Roman" w:hAnsi="Times New Roman" w:eastAsia="宋体" w:cs="Times New Roman"/>
          <w:color w:val="000000"/>
          <w:kern w:val="0"/>
          <w:sz w:val="32"/>
          <w:szCs w:val="32"/>
        </w:rPr>
        <w:t>2025</w:t>
      </w:r>
      <w:r>
        <w:rPr>
          <w:rFonts w:hint="eastAsia" w:ascii="仿宋_GB2312" w:hAnsi="宋体" w:eastAsia="仿宋_GB2312" w:cs="宋体"/>
          <w:color w:val="000000"/>
          <w:kern w:val="0"/>
          <w:sz w:val="32"/>
          <w:szCs w:val="32"/>
        </w:rPr>
        <w:t>年，全市每千人口拥有</w:t>
      </w:r>
      <w:r>
        <w:rPr>
          <w:rFonts w:ascii="Times New Roman" w:hAnsi="Times New Roman" w:eastAsia="宋体" w:cs="Times New Roman"/>
          <w:color w:val="000000"/>
          <w:kern w:val="0"/>
          <w:sz w:val="32"/>
          <w:szCs w:val="32"/>
        </w:rPr>
        <w:t>3</w:t>
      </w:r>
      <w:r>
        <w:rPr>
          <w:rFonts w:hint="eastAsia" w:ascii="仿宋_GB2312" w:hAnsi="宋体" w:eastAsia="仿宋_GB2312" w:cs="宋体"/>
          <w:color w:val="000000"/>
          <w:kern w:val="0"/>
          <w:sz w:val="32"/>
          <w:szCs w:val="32"/>
        </w:rPr>
        <w:t>岁以下婴幼儿托位数</w:t>
      </w:r>
      <w:r>
        <w:rPr>
          <w:rFonts w:ascii="Times New Roman" w:hAnsi="Times New Roman" w:eastAsia="宋体" w:cs="Times New Roman"/>
          <w:color w:val="000000"/>
          <w:kern w:val="0"/>
          <w:sz w:val="32"/>
          <w:szCs w:val="32"/>
        </w:rPr>
        <w:t>4.5</w:t>
      </w:r>
      <w:r>
        <w:rPr>
          <w:rFonts w:hint="eastAsia" w:ascii="仿宋_GB2312" w:hAnsi="宋体" w:eastAsia="仿宋_GB2312" w:cs="宋体"/>
          <w:color w:val="000000"/>
          <w:kern w:val="0"/>
          <w:sz w:val="32"/>
          <w:szCs w:val="32"/>
        </w:rPr>
        <w:t>个。积极推动各地形成全市优生优育指导新体系。</w:t>
      </w:r>
      <w:r>
        <w:rPr>
          <w:rFonts w:hint="eastAsia" w:ascii="仿宋_GB2312" w:hAnsi="Calibri" w:eastAsia="仿宋_GB2312" w:cs="Times New Roman"/>
          <w:sz w:val="32"/>
          <w:szCs w:val="32"/>
        </w:rPr>
        <w:t>健全婴幼儿网络和机构建设，</w:t>
      </w:r>
      <w:r>
        <w:rPr>
          <w:rFonts w:hint="eastAsia" w:ascii="仿宋_GB2312" w:hAnsi="宋体" w:eastAsia="仿宋_GB2312" w:cs="宋体"/>
          <w:color w:val="000000"/>
          <w:kern w:val="0"/>
          <w:sz w:val="32"/>
          <w:szCs w:val="32"/>
        </w:rPr>
        <w:t xml:space="preserve">支持和引导社会力量在社区兴办普惠性婴幼儿照护服务机构，建立 </w:t>
      </w:r>
      <w:r>
        <w:rPr>
          <w:rFonts w:ascii="Times New Roman" w:hAnsi="Times New Roman" w:eastAsia="宋体" w:cs="Times New Roman"/>
          <w:color w:val="000000"/>
          <w:kern w:val="0"/>
          <w:sz w:val="32"/>
          <w:szCs w:val="32"/>
        </w:rPr>
        <w:t xml:space="preserve">3 </w:t>
      </w:r>
      <w:r>
        <w:rPr>
          <w:rFonts w:hint="eastAsia" w:ascii="仿宋_GB2312" w:hAnsi="宋体" w:eastAsia="仿宋_GB2312" w:cs="宋体"/>
          <w:color w:val="000000"/>
          <w:kern w:val="0"/>
          <w:sz w:val="32"/>
          <w:szCs w:val="32"/>
        </w:rPr>
        <w:t>岁以下婴幼儿照护服务指导中心和实训基地，培育一批普惠性婴幼儿照护示范单位。</w:t>
      </w:r>
      <w:r>
        <w:rPr>
          <w:rFonts w:hint="eastAsia" w:ascii="仿宋_GB2312" w:hAnsi="Calibri" w:eastAsia="仿宋_GB2312" w:cs="Times New Roman"/>
          <w:sz w:val="32"/>
          <w:szCs w:val="32"/>
        </w:rPr>
        <w:t>建立市—县（区）分层次托幼管理机制。</w:t>
      </w:r>
      <w:r>
        <w:rPr>
          <w:rFonts w:hint="eastAsia" w:ascii="仿宋_GB2312" w:hAnsi="宋体" w:eastAsia="仿宋_GB2312" w:cs="宋体"/>
          <w:color w:val="000000"/>
          <w:kern w:val="0"/>
          <w:sz w:val="32"/>
          <w:szCs w:val="32"/>
        </w:rPr>
        <w:t>到2025年，婴幼儿照护服务机构从业人员持证率达到</w:t>
      </w:r>
      <w:r>
        <w:rPr>
          <w:rFonts w:ascii="Times New Roman" w:hAnsi="Times New Roman" w:eastAsia="宋体" w:cs="Times New Roman"/>
          <w:color w:val="000000"/>
          <w:kern w:val="0"/>
          <w:sz w:val="32"/>
          <w:szCs w:val="32"/>
        </w:rPr>
        <w:t>80%</w:t>
      </w:r>
      <w:r>
        <w:rPr>
          <w:rFonts w:hint="eastAsia" w:ascii="仿宋_GB2312" w:hAnsi="宋体" w:eastAsia="仿宋_GB2312" w:cs="宋体"/>
          <w:color w:val="000000"/>
          <w:kern w:val="0"/>
          <w:sz w:val="32"/>
          <w:szCs w:val="32"/>
        </w:rPr>
        <w:t>。</w:t>
      </w:r>
    </w:p>
    <w:p>
      <w:pPr>
        <w:widowControl/>
        <w:ind w:firstLine="643" w:firstLineChars="200"/>
        <w:jc w:val="left"/>
        <w:rPr>
          <w:rFonts w:ascii="仿宋_GB2312" w:hAnsi="宋体" w:eastAsia="仿宋_GB2312" w:cs="宋体"/>
          <w:color w:val="000000"/>
          <w:kern w:val="0"/>
          <w:sz w:val="32"/>
          <w:szCs w:val="32"/>
        </w:rPr>
      </w:pPr>
      <w:r>
        <w:rPr>
          <w:rFonts w:hint="eastAsia" w:ascii="仿宋_GB2312" w:hAnsi="Calibri" w:eastAsia="仿宋_GB2312" w:cs="Times New Roman"/>
          <w:b/>
          <w:sz w:val="32"/>
          <w:szCs w:val="32"/>
        </w:rPr>
        <w:t>提高优孕优生优育服务。</w:t>
      </w:r>
      <w:r>
        <w:rPr>
          <w:rFonts w:hint="eastAsia" w:ascii="仿宋_GB2312" w:hAnsi="宋体" w:eastAsia="仿宋_GB2312" w:cs="宋体"/>
          <w:color w:val="000000"/>
          <w:kern w:val="0"/>
          <w:sz w:val="32"/>
          <w:szCs w:val="32"/>
        </w:rPr>
        <w:t>完善育儿休假制度，降低生育、养育、教育成本，推进生育友好型社会建设。完善生育保险制度，建立以基本医保为主体、生育补贴等多种形式为补充的多层次家庭生育保障体系。全面改善妇幼保健机构基础设施条件，</w:t>
      </w:r>
      <w:r>
        <w:rPr>
          <w:rFonts w:ascii="仿宋_GB2312" w:eastAsia="仿宋_GB2312" w:hAnsiTheme="minorEastAsia"/>
          <w:sz w:val="32"/>
          <w:szCs w:val="32"/>
        </w:rPr>
        <w:t>整合孕前保健、孕期保健、住院分娩、儿童保健、儿童预防接种和计划生育服务内容，为妇女儿童提供系统、规范的</w:t>
      </w:r>
      <w:r>
        <w:rPr>
          <w:rFonts w:hint="eastAsia" w:ascii="仿宋_GB2312" w:eastAsia="仿宋_GB2312" w:hAnsiTheme="minorEastAsia"/>
          <w:sz w:val="32"/>
          <w:szCs w:val="32"/>
        </w:rPr>
        <w:t>优孕</w:t>
      </w:r>
      <w:r>
        <w:rPr>
          <w:rFonts w:ascii="仿宋_GB2312" w:eastAsia="仿宋_GB2312" w:hAnsiTheme="minorEastAsia"/>
          <w:sz w:val="32"/>
          <w:szCs w:val="32"/>
        </w:rPr>
        <w:t>优生优育全程“一条龙”服务。</w:t>
      </w:r>
      <w:r>
        <w:rPr>
          <w:rFonts w:hint="eastAsia" w:ascii="仿宋_GB2312" w:hAnsi="宋体" w:eastAsia="仿宋_GB2312" w:cs="宋体"/>
          <w:color w:val="000000"/>
          <w:kern w:val="0"/>
          <w:sz w:val="32"/>
          <w:szCs w:val="32"/>
        </w:rPr>
        <w:t>强化各级危重孕产妇、新生儿救治中心标准化建设。优化市县两级儿科医疗服务资源布局，提升儿科服务能力。不断强化人口监测分析、公共场所母婴设施建设工作。试点建设村级儿童早期发展示范基地，广泛开展家长学校、儿童早期发展指导等工作。全面实施国民营养计划，强化青少年近视、龋齿、肥胖等防控。到2025年，青少年总体近视率控制在**以内。</w:t>
      </w:r>
    </w:p>
    <w:tbl>
      <w:tblPr>
        <w:tblStyle w:val="16"/>
        <w:tblW w:w="0" w:type="auto"/>
        <w:tblInd w:w="0" w:type="dxa"/>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shd w:val="clear" w:color="auto" w:fill="92CDDC" w:themeFill="accent5" w:themeFillTint="99"/>
          </w:tcPr>
          <w:p>
            <w:pPr>
              <w:rPr>
                <w:rFonts w:ascii="仿宋_GB2312" w:eastAsia="仿宋_GB2312" w:hAnsiTheme="minorEastAsia"/>
                <w:b/>
                <w:sz w:val="28"/>
                <w:szCs w:val="28"/>
              </w:rPr>
            </w:pPr>
            <w:r>
              <w:rPr>
                <w:rFonts w:hint="eastAsia" w:ascii="仿宋_GB2312" w:eastAsia="仿宋_GB2312" w:hAnsiTheme="minorEastAsia"/>
                <w:b/>
                <w:sz w:val="28"/>
                <w:szCs w:val="28"/>
              </w:rPr>
              <w:t>专栏9  婴幼儿照护服务重点工程</w:t>
            </w: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tcPr>
          <w:p>
            <w:pPr>
              <w:widowControl/>
              <w:spacing w:line="400" w:lineRule="exact"/>
              <w:ind w:firstLine="482" w:firstLineChars="200"/>
              <w:jc w:val="left"/>
              <w:rPr>
                <w:rFonts w:ascii="仿宋_GB2312" w:hAnsi="宋体" w:eastAsia="仿宋_GB2312" w:cs="宋体"/>
                <w:color w:val="000000"/>
                <w:kern w:val="0"/>
                <w:sz w:val="24"/>
                <w:szCs w:val="24"/>
              </w:rPr>
            </w:pPr>
            <w:r>
              <w:rPr>
                <w:rFonts w:hint="eastAsia" w:ascii="仿宋_GB2312" w:hAnsi="宋体" w:eastAsia="仿宋_GB2312" w:cs="宋体"/>
                <w:b/>
                <w:color w:val="000000"/>
                <w:kern w:val="0"/>
                <w:sz w:val="24"/>
                <w:szCs w:val="24"/>
              </w:rPr>
              <w:t>1、支持指导以家庭为主的照护服务。</w:t>
            </w:r>
            <w:r>
              <w:rPr>
                <w:rFonts w:hint="eastAsia" w:ascii="仿宋_GB2312" w:hAnsi="宋体" w:eastAsia="仿宋_GB2312" w:cs="宋体"/>
                <w:color w:val="000000"/>
                <w:kern w:val="0"/>
                <w:sz w:val="24"/>
                <w:szCs w:val="24"/>
              </w:rPr>
              <w:t>推动女职工产假、父母育儿假调整；鼓励用人单位设置育婴室、哺乳室，按照规定采取灵活安排工作时间等积极措施，满足职工照护婴幼儿的需求。积极开展“互联网+育儿”等多种服务，通过网络、视频、母子手册等平台，依托各级各类妇幼保健服务、医疗卫生、儿童早期健康发展基地、婴幼儿照护服务等机构和场所，为家庭育儿提供专业指导服务。</w:t>
            </w:r>
          </w:p>
          <w:p>
            <w:pPr>
              <w:widowControl/>
              <w:spacing w:line="400" w:lineRule="exact"/>
              <w:ind w:firstLine="482" w:firstLineChars="200"/>
              <w:jc w:val="left"/>
              <w:rPr>
                <w:rFonts w:ascii="仿宋_GB2312" w:hAnsi="宋体" w:eastAsia="仿宋_GB2312" w:cs="宋体"/>
                <w:color w:val="000000"/>
                <w:kern w:val="0"/>
                <w:sz w:val="24"/>
                <w:szCs w:val="24"/>
              </w:rPr>
            </w:pPr>
            <w:r>
              <w:rPr>
                <w:rFonts w:hint="eastAsia" w:ascii="仿宋_GB2312" w:hAnsi="宋体" w:eastAsia="仿宋_GB2312" w:cs="宋体"/>
                <w:b/>
                <w:color w:val="000000"/>
                <w:kern w:val="0"/>
                <w:sz w:val="24"/>
                <w:szCs w:val="24"/>
              </w:rPr>
              <w:t>2、挖掘社区资源提供婴幼儿照护服务。</w:t>
            </w:r>
            <w:r>
              <w:rPr>
                <w:rFonts w:hint="eastAsia" w:ascii="仿宋_GB2312" w:hAnsi="宋体" w:eastAsia="仿宋_GB2312" w:cs="宋体"/>
                <w:color w:val="000000"/>
                <w:kern w:val="0"/>
                <w:sz w:val="24"/>
                <w:szCs w:val="24"/>
              </w:rPr>
              <w:t>采取公办民营、民办公助等方式，支持和引导社会力量在社区兴办普惠性婴幼儿照护服务机构或服务点。在新建居住区规划、建设与常住人口规模相适应的婴幼儿照护服务设施，并纳入城镇住宅小区配套建设。老城区和已建成居住区无婴幼儿照护服务设施的，要限期通过购置、置换、租赁等方式建设。</w:t>
            </w:r>
          </w:p>
          <w:p>
            <w:pPr>
              <w:widowControl/>
              <w:spacing w:line="400" w:lineRule="exact"/>
              <w:ind w:firstLine="482" w:firstLineChars="200"/>
              <w:jc w:val="left"/>
              <w:rPr>
                <w:rFonts w:ascii="仿宋_GB2312" w:hAnsi="宋体" w:eastAsia="仿宋_GB2312" w:cs="宋体"/>
                <w:color w:val="000000"/>
                <w:kern w:val="0"/>
                <w:sz w:val="24"/>
                <w:szCs w:val="24"/>
              </w:rPr>
            </w:pPr>
            <w:r>
              <w:rPr>
                <w:rFonts w:hint="eastAsia" w:ascii="仿宋_GB2312" w:hAnsi="宋体" w:eastAsia="仿宋_GB2312" w:cs="宋体"/>
                <w:b/>
                <w:color w:val="000000"/>
                <w:kern w:val="0"/>
                <w:sz w:val="24"/>
                <w:szCs w:val="24"/>
              </w:rPr>
              <w:t>3、依托幼儿园延伸提供婴幼儿照护服务。</w:t>
            </w:r>
            <w:r>
              <w:rPr>
                <w:rFonts w:hint="eastAsia" w:ascii="仿宋_GB2312" w:hAnsi="宋体" w:eastAsia="仿宋_GB2312" w:cs="宋体"/>
                <w:color w:val="000000"/>
                <w:kern w:val="0"/>
                <w:sz w:val="24"/>
                <w:szCs w:val="24"/>
              </w:rPr>
              <w:t xml:space="preserve">积极发挥幼儿园专业资源集聚优势，鼓励支持有条件的幼儿园开设托班，招收 </w:t>
            </w:r>
            <w:r>
              <w:rPr>
                <w:rFonts w:ascii="仿宋_GB2312" w:hAnsi="宋体" w:eastAsia="仿宋_GB2312" w:cs="宋体"/>
                <w:color w:val="000000"/>
                <w:kern w:val="0"/>
                <w:sz w:val="24"/>
                <w:szCs w:val="24"/>
              </w:rPr>
              <w:t>2</w:t>
            </w:r>
            <w:r>
              <w:rPr>
                <w:rFonts w:hint="eastAsia" w:ascii="仿宋_GB2312" w:hAnsi="宋体" w:eastAsia="仿宋_GB2312" w:cs="宋体"/>
                <w:color w:val="000000"/>
                <w:kern w:val="0"/>
                <w:sz w:val="24"/>
                <w:szCs w:val="24"/>
              </w:rPr>
              <w:t>—</w:t>
            </w:r>
            <w:r>
              <w:rPr>
                <w:rFonts w:ascii="仿宋_GB2312" w:hAnsi="宋体" w:eastAsia="仿宋_GB2312" w:cs="宋体"/>
                <w:color w:val="000000"/>
                <w:kern w:val="0"/>
                <w:sz w:val="24"/>
                <w:szCs w:val="24"/>
              </w:rPr>
              <w:t xml:space="preserve">3 </w:t>
            </w:r>
            <w:r>
              <w:rPr>
                <w:rFonts w:hint="eastAsia" w:ascii="仿宋_GB2312" w:hAnsi="宋体" w:eastAsia="仿宋_GB2312" w:cs="宋体"/>
                <w:color w:val="000000"/>
                <w:kern w:val="0"/>
                <w:sz w:val="24"/>
                <w:szCs w:val="24"/>
              </w:rPr>
              <w:t>岁幼儿，通过新建、改建、扩建幼儿园，增加托班资源供给。</w:t>
            </w:r>
          </w:p>
          <w:p>
            <w:pPr>
              <w:widowControl/>
              <w:spacing w:line="400" w:lineRule="exact"/>
              <w:ind w:firstLine="482" w:firstLineChars="200"/>
              <w:jc w:val="left"/>
              <w:rPr>
                <w:rFonts w:ascii="仿宋_GB2312" w:hAnsi="宋体" w:eastAsia="仿宋_GB2312" w:cs="宋体"/>
                <w:color w:val="000000"/>
                <w:kern w:val="0"/>
                <w:sz w:val="24"/>
                <w:szCs w:val="24"/>
              </w:rPr>
            </w:pPr>
            <w:r>
              <w:rPr>
                <w:rFonts w:hint="eastAsia" w:ascii="仿宋_GB2312" w:hAnsi="宋体" w:eastAsia="仿宋_GB2312" w:cs="宋体"/>
                <w:b/>
                <w:color w:val="000000"/>
                <w:kern w:val="0"/>
                <w:sz w:val="24"/>
                <w:szCs w:val="24"/>
              </w:rPr>
              <w:t>4、鼓励单位为职工提供婴幼儿照护服务。</w:t>
            </w:r>
            <w:r>
              <w:rPr>
                <w:rFonts w:hint="eastAsia" w:ascii="仿宋_GB2312" w:hAnsi="宋体" w:eastAsia="仿宋_GB2312" w:cs="宋体"/>
                <w:color w:val="000000"/>
                <w:kern w:val="0"/>
                <w:sz w:val="24"/>
                <w:szCs w:val="24"/>
              </w:rPr>
              <w:t>引导社会组织和机关、大型企事业等单位，采取单独或联合举办的形式，积极挖掘现有资源或建设相应规模的婴幼儿照护服务机构，在工作场所或就近为职工提供普惠性婴幼儿照护服务。</w:t>
            </w:r>
          </w:p>
          <w:p>
            <w:pPr>
              <w:widowControl/>
              <w:spacing w:line="40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color w:val="000000"/>
                <w:kern w:val="0"/>
                <w:sz w:val="24"/>
                <w:szCs w:val="24"/>
              </w:rPr>
              <w:t>5、引进品牌连锁婴幼儿照护服务。</w:t>
            </w:r>
            <w:r>
              <w:rPr>
                <w:rFonts w:hint="eastAsia" w:ascii="仿宋_GB2312" w:hAnsi="宋体" w:eastAsia="仿宋_GB2312" w:cs="宋体"/>
                <w:color w:val="000000"/>
                <w:kern w:val="0"/>
                <w:sz w:val="24"/>
                <w:szCs w:val="24"/>
              </w:rPr>
              <w:t>大力扶持规模化、品牌化、连锁化的婴幼儿照护服务机构发展，支持国际、国内知名婴幼儿照护服务企业，通过直营或加盟方式落户我市，举办专业性、多层次、多品类婴幼儿照护服务机构。</w:t>
            </w:r>
          </w:p>
        </w:tc>
      </w:tr>
    </w:tbl>
    <w:p>
      <w:pPr>
        <w:spacing w:beforeLines="50"/>
        <w:ind w:firstLine="643" w:firstLineChars="200"/>
        <w:outlineLvl w:val="2"/>
        <w:rPr>
          <w:rFonts w:ascii="仿宋_GB2312" w:hAnsi="Times New Roman" w:eastAsia="仿宋_GB2312" w:cs="Times New Roman"/>
          <w:b/>
          <w:sz w:val="32"/>
          <w:szCs w:val="32"/>
        </w:rPr>
      </w:pPr>
      <w:bookmarkStart w:id="31" w:name="_Toc68980534"/>
      <w:bookmarkStart w:id="32" w:name="_Toc69259726"/>
      <w:r>
        <w:rPr>
          <w:rFonts w:hint="eastAsia" w:ascii="仿宋_GB2312" w:hAnsi="Times New Roman" w:eastAsia="仿宋_GB2312" w:cs="Times New Roman"/>
          <w:b/>
          <w:sz w:val="32"/>
          <w:szCs w:val="32"/>
        </w:rPr>
        <w:t>2、完善养老保障</w:t>
      </w:r>
      <w:bookmarkEnd w:id="31"/>
      <w:bookmarkEnd w:id="32"/>
    </w:p>
    <w:p>
      <w:pPr>
        <w:ind w:firstLine="643" w:firstLineChars="200"/>
        <w:rPr>
          <w:rFonts w:ascii="仿宋_GB2312" w:hAnsi="Times New Roman" w:eastAsia="仿宋_GB2312" w:cs="Times New Roman"/>
          <w:sz w:val="32"/>
          <w:szCs w:val="32"/>
        </w:rPr>
      </w:pPr>
      <w:r>
        <w:rPr>
          <w:rFonts w:hint="eastAsia" w:ascii="仿宋_GB2312" w:eastAsia="仿宋_GB2312" w:cs="Times New Roman" w:hAnsiTheme="minorEastAsia"/>
          <w:b/>
          <w:sz w:val="32"/>
          <w:szCs w:val="32"/>
        </w:rPr>
        <w:t>完善养老服务体系。</w:t>
      </w:r>
      <w:r>
        <w:rPr>
          <w:rFonts w:hint="eastAsia" w:ascii="仿宋_GB2312" w:eastAsia="仿宋_GB2312" w:cs="Times New Roman" w:hAnsiTheme="minorEastAsia"/>
          <w:sz w:val="32"/>
          <w:szCs w:val="32"/>
        </w:rPr>
        <w:t>健全和完善居家为基础、社区为依托、机构为补充、医养相结合的普惠型养老服务体系。深化全国居家和社区养老服务试点改革，</w:t>
      </w:r>
      <w:r>
        <w:rPr>
          <w:rFonts w:hint="eastAsia" w:ascii="仿宋_GB2312" w:hAnsi="Times New Roman" w:eastAsia="仿宋_GB2312" w:cs="Times New Roman"/>
          <w:sz w:val="32"/>
          <w:szCs w:val="32"/>
        </w:rPr>
        <w:t>实现乡镇（街道）居家养老服务中心全覆盖</w:t>
      </w:r>
      <w:r>
        <w:rPr>
          <w:rFonts w:hint="eastAsia" w:ascii="仿宋_GB2312" w:eastAsia="仿宋_GB2312" w:cs="Times New Roman" w:hAnsiTheme="minorEastAsia"/>
          <w:sz w:val="32"/>
          <w:szCs w:val="32"/>
        </w:rPr>
        <w:t>。不断拓展社区养老服务功能，推动居家上门服务所提供的医疗保健、康复护理服务同基本医疗保险制度相衔接。</w:t>
      </w:r>
      <w:r>
        <w:rPr>
          <w:rFonts w:hint="eastAsia" w:ascii="仿宋_GB2312" w:hAnsi="Times New Roman" w:eastAsia="仿宋_GB2312" w:cs="Times New Roman"/>
          <w:sz w:val="32"/>
          <w:szCs w:val="32"/>
        </w:rPr>
        <w:t>推进养老服务设施布局建设，加快台州市社会福利院工程建设，鼓励有条件的县（市、区）建设社会福利中心（福利院），推进</w:t>
      </w:r>
      <w:r>
        <w:rPr>
          <w:rFonts w:hint="eastAsia" w:ascii="仿宋_GB2312" w:eastAsia="仿宋_GB2312" w:cs="Times New Roman" w:hAnsiTheme="minorEastAsia"/>
          <w:sz w:val="32"/>
          <w:szCs w:val="32"/>
        </w:rPr>
        <w:t>乡镇（街道）敬老院新建及改扩建，确保每个市（县）至少建有1家公办养老院。</w:t>
      </w:r>
      <w:r>
        <w:rPr>
          <w:rFonts w:hint="eastAsia" w:ascii="仿宋_GB2312" w:hAnsi="Times New Roman" w:eastAsia="仿宋_GB2312" w:cs="Times New Roman"/>
          <w:sz w:val="32"/>
          <w:szCs w:val="32"/>
        </w:rPr>
        <w:t>新建一批以护理型为主的养老机构，</w:t>
      </w:r>
      <w:r>
        <w:rPr>
          <w:rFonts w:hint="eastAsia" w:ascii="仿宋_GB2312" w:hAnsi="仿宋" w:eastAsia="仿宋_GB2312" w:cs="仿宋"/>
          <w:sz w:val="32"/>
          <w:szCs w:val="32"/>
        </w:rPr>
        <w:t>突出养老机构的生活照料、康复护理及助医服务功能，到2025年，</w:t>
      </w:r>
      <w:r>
        <w:rPr>
          <w:rFonts w:hint="eastAsia" w:ascii="仿宋_GB2312" w:hAnsi="Times New Roman" w:eastAsia="仿宋_GB2312" w:cs="Times New Roman"/>
          <w:sz w:val="32"/>
          <w:szCs w:val="32"/>
        </w:rPr>
        <w:t>力争护理型床位占机构床位的60%以上。</w:t>
      </w:r>
      <w:r>
        <w:rPr>
          <w:rFonts w:hint="eastAsia" w:ascii="Times New Roman" w:hAnsi="Times New Roman" w:eastAsia="仿宋_GB2312"/>
          <w:sz w:val="32"/>
          <w:szCs w:val="32"/>
        </w:rPr>
        <w:t>持续推进敬老院改造计划，加强城郊地区、山区等地老年人的基本养老服务保障。</w:t>
      </w:r>
    </w:p>
    <w:p>
      <w:pPr>
        <w:ind w:firstLine="643" w:firstLineChars="200"/>
        <w:rPr>
          <w:rFonts w:ascii="仿宋_GB2312" w:eastAsia="仿宋_GB2312" w:cs="Times New Roman" w:hAnsiTheme="minorEastAsia"/>
          <w:sz w:val="32"/>
          <w:szCs w:val="32"/>
        </w:rPr>
      </w:pPr>
      <w:r>
        <w:rPr>
          <w:rFonts w:hint="eastAsia" w:ascii="仿宋_GB2312" w:eastAsia="仿宋_GB2312" w:cs="Times New Roman" w:hAnsiTheme="minorEastAsia"/>
          <w:b/>
          <w:sz w:val="32"/>
          <w:szCs w:val="32"/>
        </w:rPr>
        <w:t>创新养老服务模式。</w:t>
      </w:r>
      <w:r>
        <w:rPr>
          <w:rFonts w:hint="eastAsia" w:ascii="仿宋_GB2312" w:hAnsi="仿宋" w:eastAsia="仿宋_GB2312" w:cs="仿宋"/>
          <w:sz w:val="32"/>
          <w:szCs w:val="32"/>
        </w:rPr>
        <w:t>持续创新“家院互融”社区养老模式，鼓励支持养老机构运营社区养老服务设施，</w:t>
      </w:r>
      <w:r>
        <w:rPr>
          <w:rFonts w:ascii="仿宋" w:hAnsi="仿宋" w:eastAsia="仿宋"/>
          <w:bCs/>
          <w:sz w:val="32"/>
          <w:szCs w:val="32"/>
        </w:rPr>
        <w:t>设立服务场所，</w:t>
      </w:r>
      <w:r>
        <w:rPr>
          <w:rFonts w:hint="eastAsia" w:ascii="仿宋" w:hAnsi="仿宋" w:eastAsia="仿宋"/>
          <w:bCs/>
          <w:sz w:val="32"/>
          <w:szCs w:val="32"/>
        </w:rPr>
        <w:t>为居家老年人提供专业的上门服务，探索</w:t>
      </w:r>
      <w:r>
        <w:rPr>
          <w:rFonts w:hint="eastAsia" w:ascii="仿宋_GB2312" w:hAnsi="仿宋" w:eastAsia="仿宋_GB2312" w:cs="仿宋"/>
          <w:sz w:val="32"/>
          <w:szCs w:val="32"/>
        </w:rPr>
        <w:t>打造嵌入式“小微机构”</w:t>
      </w:r>
      <w:r>
        <w:rPr>
          <w:rFonts w:hint="eastAsia" w:ascii="仿宋" w:hAnsi="仿宋" w:eastAsia="仿宋"/>
          <w:bCs/>
          <w:sz w:val="32"/>
          <w:szCs w:val="32"/>
        </w:rPr>
        <w:t>。</w:t>
      </w:r>
      <w:r>
        <w:rPr>
          <w:rFonts w:hint="eastAsia" w:ascii="仿宋_GB2312" w:hAnsi="宋体" w:eastAsia="仿宋_GB2312" w:cs="宋体"/>
          <w:color w:val="000000"/>
          <w:kern w:val="0"/>
          <w:sz w:val="32"/>
          <w:szCs w:val="32"/>
        </w:rPr>
        <w:t>发展互助性养老服务，推广</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老年公寓</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养老服务</w:t>
      </w:r>
      <w:r>
        <w:rPr>
          <w:rFonts w:ascii="Times New Roman" w:hAnsi="Times New Roman" w:eastAsia="宋体" w:cs="Times New Roman"/>
          <w:color w:val="000000"/>
          <w:kern w:val="0"/>
          <w:sz w:val="32"/>
          <w:szCs w:val="32"/>
        </w:rPr>
        <w:t>” “</w:t>
      </w:r>
      <w:r>
        <w:rPr>
          <w:rFonts w:hint="eastAsia" w:ascii="仿宋_GB2312" w:hAnsi="宋体" w:eastAsia="仿宋_GB2312" w:cs="宋体"/>
          <w:color w:val="000000"/>
          <w:kern w:val="0"/>
          <w:sz w:val="32"/>
          <w:szCs w:val="32"/>
        </w:rPr>
        <w:t>物业服务</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养老服务</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等模式，</w:t>
      </w:r>
      <w:r>
        <w:rPr>
          <w:rFonts w:hint="eastAsia" w:ascii="仿宋_GB2312" w:hAnsi="Times New Roman" w:eastAsia="仿宋_GB2312" w:cs="Times New Roman"/>
          <w:sz w:val="32"/>
          <w:szCs w:val="32"/>
        </w:rPr>
        <w:t>探索“志愿型”“储蓄型”互助养老模式。加强异地养老机构互助合作，开展异地养老、候鸟式养老等服务。</w:t>
      </w:r>
      <w:r>
        <w:rPr>
          <w:rFonts w:hint="eastAsia" w:ascii="仿宋_GB2312" w:eastAsia="仿宋_GB2312" w:cs="Times New Roman" w:hAnsiTheme="minorEastAsia"/>
          <w:sz w:val="32"/>
          <w:szCs w:val="32"/>
        </w:rPr>
        <w:t>实施</w:t>
      </w:r>
      <w:r>
        <w:rPr>
          <w:rFonts w:hint="eastAsia" w:ascii="仿宋_GB2312" w:hAnsi="Times New Roman" w:eastAsia="仿宋_GB2312" w:cs="Times New Roman"/>
          <w:sz w:val="32"/>
          <w:szCs w:val="32"/>
        </w:rPr>
        <w:t>“互联网+”</w:t>
      </w:r>
      <w:r>
        <w:rPr>
          <w:rFonts w:hint="eastAsia" w:ascii="仿宋_GB2312" w:eastAsia="仿宋_GB2312" w:cs="Times New Roman" w:hAnsiTheme="minorEastAsia"/>
          <w:sz w:val="32"/>
          <w:szCs w:val="32"/>
        </w:rPr>
        <w:t>养老服务业，</w:t>
      </w:r>
      <w:r>
        <w:rPr>
          <w:rFonts w:hint="eastAsia" w:ascii="仿宋_GB2312" w:hAnsi="Times New Roman" w:eastAsia="仿宋_GB2312" w:cs="Times New Roman"/>
          <w:sz w:val="32"/>
          <w:szCs w:val="32"/>
        </w:rPr>
        <w:t>建设运营台州“智慧养老”服务和监管平台，</w:t>
      </w:r>
      <w:r>
        <w:rPr>
          <w:rFonts w:hint="eastAsia" w:ascii="仿宋_GB2312" w:eastAsia="仿宋_GB2312" w:cs="Times New Roman" w:hAnsiTheme="minorEastAsia"/>
          <w:sz w:val="32"/>
          <w:szCs w:val="32"/>
        </w:rPr>
        <w:t>加快推行</w:t>
      </w:r>
      <w:r>
        <w:rPr>
          <w:rFonts w:hint="eastAsia" w:ascii="仿宋_GB2312" w:hAnsi="Times New Roman" w:eastAsia="仿宋_GB2312" w:cs="Times New Roman"/>
          <w:sz w:val="32"/>
          <w:szCs w:val="32"/>
        </w:rPr>
        <w:t>“虚拟养老院”</w:t>
      </w:r>
      <w:r>
        <w:rPr>
          <w:rFonts w:hint="eastAsia" w:ascii="仿宋_GB2312" w:eastAsia="仿宋_GB2312" w:cs="Times New Roman" w:hAnsiTheme="minorEastAsia"/>
          <w:sz w:val="32"/>
          <w:szCs w:val="32"/>
        </w:rPr>
        <w:t>和居家养老服务智能化。</w:t>
      </w:r>
    </w:p>
    <w:tbl>
      <w:tblPr>
        <w:tblStyle w:val="16"/>
        <w:tblW w:w="0" w:type="auto"/>
        <w:tblInd w:w="0" w:type="dxa"/>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shd w:val="clear" w:color="auto" w:fill="92CDDC" w:themeFill="accent5" w:themeFillTint="99"/>
          </w:tcPr>
          <w:p>
            <w:pPr>
              <w:rPr>
                <w:rFonts w:ascii="仿宋_GB2312" w:eastAsia="仿宋_GB2312" w:hAnsiTheme="minorEastAsia"/>
                <w:b/>
                <w:sz w:val="28"/>
                <w:szCs w:val="28"/>
              </w:rPr>
            </w:pPr>
            <w:r>
              <w:rPr>
                <w:rFonts w:hint="eastAsia" w:ascii="仿宋_GB2312" w:eastAsia="仿宋_GB2312" w:hAnsiTheme="minorEastAsia"/>
                <w:b/>
                <w:sz w:val="28"/>
                <w:szCs w:val="28"/>
              </w:rPr>
              <w:t>专栏10 幸福养老重点工程</w:t>
            </w: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tcPr>
          <w:p>
            <w:pPr>
              <w:adjustRightInd w:val="0"/>
              <w:snapToGrid w:val="0"/>
              <w:spacing w:line="400" w:lineRule="exact"/>
              <w:ind w:firstLine="482" w:firstLineChars="200"/>
              <w:rPr>
                <w:rFonts w:ascii="仿宋_GB2312" w:hAnsi="Times New Roman" w:eastAsia="仿宋_GB2312" w:cs="Times New Roman"/>
                <w:sz w:val="24"/>
                <w:szCs w:val="24"/>
              </w:rPr>
            </w:pPr>
            <w:r>
              <w:rPr>
                <w:rFonts w:hint="eastAsia" w:ascii="仿宋_GB2312" w:hAnsi="Times New Roman" w:eastAsia="仿宋_GB2312"/>
                <w:b/>
                <w:sz w:val="24"/>
                <w:szCs w:val="24"/>
              </w:rPr>
              <w:t>1、居家幸福养老“四大”行动。实施“上门探访”行动</w:t>
            </w:r>
            <w:r>
              <w:rPr>
                <w:rFonts w:hint="eastAsia" w:ascii="仿宋_GB2312" w:hAnsi="Times New Roman" w:eastAsia="仿宋_GB2312"/>
                <w:sz w:val="24"/>
                <w:szCs w:val="24"/>
              </w:rPr>
              <w:t>。探索居家社区探访制度，鼓励社会工作者、社会组织、志愿者开展上门服务，重点关注独居、空巢、失能、失智等特殊困难老年人。</w:t>
            </w:r>
            <w:r>
              <w:rPr>
                <w:rFonts w:hint="eastAsia" w:ascii="仿宋_GB2312" w:hAnsi="Times New Roman" w:eastAsia="仿宋_GB2312" w:cs="Times New Roman"/>
                <w:b/>
                <w:sz w:val="24"/>
                <w:szCs w:val="24"/>
              </w:rPr>
              <w:t>实施家庭适老化改造行动</w:t>
            </w:r>
            <w:r>
              <w:rPr>
                <w:rFonts w:hint="eastAsia" w:ascii="仿宋_GB2312" w:hAnsi="Times New Roman" w:eastAsia="仿宋_GB2312" w:cs="Times New Roman"/>
                <w:sz w:val="24"/>
                <w:szCs w:val="24"/>
              </w:rPr>
              <w:t>。完成困难老年人家庭适老化改造***户，新增家庭养老床位***张，创设便捷老年人出行的公共环境。</w:t>
            </w:r>
            <w:r>
              <w:rPr>
                <w:rFonts w:hint="eastAsia" w:ascii="仿宋_GB2312" w:hAnsi="Times New Roman" w:eastAsia="仿宋_GB2312" w:cs="Times New Roman"/>
                <w:b/>
                <w:sz w:val="24"/>
                <w:szCs w:val="24"/>
              </w:rPr>
              <w:t>实施助餐网点及助餐配餐服务行动</w:t>
            </w:r>
            <w:r>
              <w:rPr>
                <w:rFonts w:hint="eastAsia" w:ascii="仿宋_GB2312" w:hAnsi="Times New Roman" w:eastAsia="仿宋_GB2312" w:cs="Times New Roman"/>
                <w:sz w:val="24"/>
                <w:szCs w:val="24"/>
              </w:rPr>
              <w:t>。增强配送餐服务力量，对经济困难且失能、高龄孤寡的老人开展订餐配送服务；</w:t>
            </w:r>
            <w:r>
              <w:rPr>
                <w:rFonts w:hint="eastAsia" w:ascii="仿宋_GB2312" w:hAnsi="Times New Roman" w:eastAsia="仿宋_GB2312" w:cs="Times New Roman"/>
                <w:b/>
                <w:sz w:val="24"/>
                <w:szCs w:val="24"/>
              </w:rPr>
              <w:t>实施家庭照护能力提升行动</w:t>
            </w:r>
            <w:r>
              <w:rPr>
                <w:rFonts w:hint="eastAsia" w:ascii="仿宋_GB2312" w:hAnsi="Times New Roman" w:eastAsia="仿宋_GB2312" w:cs="Times New Roman"/>
                <w:sz w:val="24"/>
                <w:szCs w:val="24"/>
              </w:rPr>
              <w:t>。鼓励成年子女与老年父母就近居住或共同生活，探索子女照料住院父母的陪护假制度，对需要长期照护的失能失智老年人家庭提供免费或低偿的喘息服务，对失能失智、高龄老年人家庭照护者进行免费的护理知识和技能培训。</w:t>
            </w:r>
          </w:p>
          <w:p>
            <w:pPr>
              <w:widowControl/>
              <w:spacing w:line="40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color w:val="000000"/>
                <w:kern w:val="0"/>
                <w:sz w:val="24"/>
                <w:szCs w:val="24"/>
              </w:rPr>
              <w:t>2、市区域老年医疗中心建设行动。</w:t>
            </w:r>
            <w:r>
              <w:rPr>
                <w:rFonts w:hint="eastAsia" w:ascii="仿宋_GB2312" w:hAnsi="宋体" w:eastAsia="仿宋_GB2312" w:cs="宋体"/>
                <w:color w:val="000000"/>
                <w:kern w:val="0"/>
                <w:sz w:val="24"/>
                <w:szCs w:val="24"/>
              </w:rPr>
              <w:t xml:space="preserve">加强老年医学、康复医学学科建设。通过新（改扩）建、转型、提升等措施，全市新增 </w:t>
            </w:r>
            <w:r>
              <w:rPr>
                <w:rFonts w:hint="eastAsia" w:ascii="仿宋_GB2312" w:hAnsi="Times New Roman" w:eastAsia="仿宋_GB2312" w:cs="Times New Roman"/>
                <w:color w:val="000000"/>
                <w:kern w:val="0"/>
                <w:sz w:val="24"/>
                <w:szCs w:val="24"/>
              </w:rPr>
              <w:t xml:space="preserve">10 </w:t>
            </w:r>
            <w:r>
              <w:rPr>
                <w:rFonts w:hint="eastAsia" w:ascii="仿宋_GB2312" w:hAnsi="宋体" w:eastAsia="仿宋_GB2312" w:cs="宋体"/>
                <w:color w:val="000000"/>
                <w:kern w:val="0"/>
                <w:sz w:val="24"/>
                <w:szCs w:val="24"/>
              </w:rPr>
              <w:t>家以上老年医院、护理院、康复医院，全市二级及以上综合医院和中医医院规范设置老年医学科的比例达到</w:t>
            </w:r>
            <w:r>
              <w:rPr>
                <w:rFonts w:hint="eastAsia" w:ascii="仿宋_GB2312" w:hAnsi="Times New Roman" w:eastAsia="仿宋_GB2312" w:cs="Times New Roman"/>
                <w:color w:val="000000"/>
                <w:kern w:val="0"/>
                <w:sz w:val="24"/>
                <w:szCs w:val="24"/>
              </w:rPr>
              <w:t>60%</w:t>
            </w:r>
            <w:r>
              <w:rPr>
                <w:rFonts w:hint="eastAsia" w:ascii="仿宋_GB2312" w:hAnsi="宋体" w:eastAsia="仿宋_GB2312" w:cs="宋体"/>
                <w:color w:val="000000"/>
                <w:kern w:val="0"/>
                <w:sz w:val="24"/>
                <w:szCs w:val="24"/>
              </w:rPr>
              <w:t xml:space="preserve">以上。培育台州市康复医院作为康复技术指导中心，设立 </w:t>
            </w:r>
            <w:r>
              <w:rPr>
                <w:rFonts w:hint="eastAsia" w:ascii="仿宋_GB2312" w:hAnsi="Times New Roman" w:eastAsia="仿宋_GB2312" w:cs="Times New Roman"/>
                <w:color w:val="000000"/>
                <w:kern w:val="0"/>
                <w:sz w:val="24"/>
                <w:szCs w:val="24"/>
              </w:rPr>
              <w:t xml:space="preserve">1 </w:t>
            </w:r>
            <w:r>
              <w:rPr>
                <w:rFonts w:hint="eastAsia" w:ascii="仿宋_GB2312" w:hAnsi="宋体" w:eastAsia="仿宋_GB2312" w:cs="宋体"/>
                <w:color w:val="000000"/>
                <w:kern w:val="0"/>
                <w:sz w:val="24"/>
                <w:szCs w:val="24"/>
              </w:rPr>
              <w:t>个安宁疗护培训基地；在县、乡两级规范化建设安宁疗护中心、病区或床位，每个县建设</w:t>
            </w:r>
            <w:r>
              <w:rPr>
                <w:rFonts w:hint="eastAsia" w:ascii="仿宋_GB2312" w:hAnsi="Times New Roman" w:eastAsia="仿宋_GB2312" w:cs="Times New Roman"/>
                <w:color w:val="000000"/>
                <w:kern w:val="0"/>
                <w:sz w:val="24"/>
                <w:szCs w:val="24"/>
              </w:rPr>
              <w:t>2</w:t>
            </w:r>
            <w:r>
              <w:rPr>
                <w:rFonts w:hint="eastAsia" w:ascii="仿宋_GB2312" w:hAnsi="宋体" w:eastAsia="仿宋_GB2312" w:cs="宋体"/>
                <w:color w:val="000000"/>
                <w:kern w:val="0"/>
                <w:sz w:val="24"/>
                <w:szCs w:val="24"/>
              </w:rPr>
              <w:t>个安宁疗护病区，</w:t>
            </w:r>
            <w:r>
              <w:rPr>
                <w:rFonts w:hint="eastAsia" w:ascii="仿宋_GB2312" w:hAnsi="Times New Roman" w:eastAsia="仿宋_GB2312" w:cs="Times New Roman"/>
                <w:color w:val="000000"/>
                <w:kern w:val="0"/>
                <w:sz w:val="24"/>
                <w:szCs w:val="24"/>
              </w:rPr>
              <w:t>20%</w:t>
            </w:r>
            <w:r>
              <w:rPr>
                <w:rFonts w:hint="eastAsia" w:ascii="仿宋_GB2312" w:hAnsi="宋体" w:eastAsia="仿宋_GB2312" w:cs="宋体"/>
                <w:color w:val="000000"/>
                <w:kern w:val="0"/>
                <w:sz w:val="24"/>
                <w:szCs w:val="24"/>
              </w:rPr>
              <w:t>以上的乡镇卫生院（社区卫生服务中心）开展安宁疗护服务。家庭医生团队为有需求的签约居民提供居家护理、居家康复等适宜服务。</w:t>
            </w:r>
          </w:p>
        </w:tc>
      </w:tr>
    </w:tbl>
    <w:p>
      <w:pPr>
        <w:spacing w:beforeLines="50"/>
        <w:ind w:firstLine="643" w:firstLineChars="200"/>
        <w:outlineLvl w:val="2"/>
        <w:rPr>
          <w:rFonts w:ascii="仿宋_GB2312" w:hAnsi="Times New Roman" w:eastAsia="仿宋_GB2312" w:cs="Times New Roman"/>
          <w:b/>
          <w:sz w:val="32"/>
          <w:szCs w:val="32"/>
        </w:rPr>
      </w:pPr>
      <w:bookmarkStart w:id="33" w:name="_Toc68980535"/>
      <w:bookmarkStart w:id="34" w:name="_Toc69259727"/>
      <w:r>
        <w:rPr>
          <w:rFonts w:hint="eastAsia" w:ascii="仿宋_GB2312" w:hAnsi="Times New Roman" w:eastAsia="仿宋_GB2312" w:cs="Times New Roman"/>
          <w:b/>
          <w:sz w:val="32"/>
          <w:szCs w:val="32"/>
        </w:rPr>
        <w:t>3、完善住房保障</w:t>
      </w:r>
      <w:bookmarkEnd w:id="33"/>
      <w:bookmarkEnd w:id="34"/>
    </w:p>
    <w:p>
      <w:pPr>
        <w:ind w:firstLine="643" w:firstLineChars="200"/>
        <w:rPr>
          <w:rFonts w:ascii="仿宋_GB2312" w:hAnsi="宋体" w:eastAsia="仿宋_GB2312" w:cs="Times New Roman"/>
          <w:sz w:val="32"/>
          <w:szCs w:val="32"/>
        </w:rPr>
      </w:pPr>
      <w:r>
        <w:rPr>
          <w:rFonts w:hint="eastAsia" w:ascii="仿宋_GB2312" w:eastAsia="仿宋_GB2312" w:hAnsiTheme="minorEastAsia"/>
          <w:b/>
          <w:sz w:val="32"/>
          <w:szCs w:val="32"/>
        </w:rPr>
        <w:t>完善住房保障体系。</w:t>
      </w:r>
      <w:r>
        <w:rPr>
          <w:rFonts w:hint="eastAsia" w:ascii="仿宋_GB2312" w:eastAsia="仿宋_GB2312" w:hAnsiTheme="minorEastAsia"/>
          <w:sz w:val="32"/>
          <w:szCs w:val="32"/>
        </w:rPr>
        <w:t>进一步完善以公共租赁住房保障为主体，其他保障形式为补充的城镇住房保障体系，高质量实现住房保障与供给。</w:t>
      </w:r>
      <w:r>
        <w:rPr>
          <w:rFonts w:hint="eastAsia" w:ascii="仿宋_GB2312" w:hAnsi="宋体" w:eastAsia="仿宋_GB2312" w:cs="宋体"/>
          <w:color w:val="000000"/>
          <w:kern w:val="0"/>
          <w:sz w:val="32"/>
          <w:szCs w:val="32"/>
        </w:rPr>
        <w:t>有效增加保障性住房供给，单列租赁住房用地计划，探索支持利用集体建设用地和企事业单位自有闲置土地建设租赁住房，支持将非住宅房屋改建为保障性租赁住房。</w:t>
      </w:r>
      <w:r>
        <w:rPr>
          <w:rFonts w:hint="eastAsia" w:ascii="仿宋_GB2312" w:eastAsia="仿宋_GB2312" w:hAnsiTheme="minorEastAsia"/>
          <w:sz w:val="32"/>
          <w:szCs w:val="32"/>
        </w:rPr>
        <w:t>完善和落实公共租赁住房租赁补贴政策，逐步实现公共租赁住房以实物配租为主向实物配租和租赁补贴并举方向转变。建立农村住房保障系统，</w:t>
      </w:r>
      <w:r>
        <w:rPr>
          <w:rFonts w:hint="eastAsia" w:ascii="仿宋_GB2312" w:hAnsi="Times New Roman" w:eastAsia="仿宋_GB2312" w:cs="Times New Roman"/>
          <w:sz w:val="32"/>
          <w:szCs w:val="32"/>
        </w:rPr>
        <w:t>稳步推进农村危旧房改造，</w:t>
      </w:r>
      <w:r>
        <w:rPr>
          <w:rFonts w:hint="eastAsia" w:ascii="仿宋_GB2312" w:eastAsia="仿宋_GB2312" w:hAnsiTheme="minorEastAsia"/>
          <w:sz w:val="32"/>
          <w:szCs w:val="32"/>
        </w:rPr>
        <w:t>消除农村困难群众危房。</w:t>
      </w:r>
      <w:r>
        <w:rPr>
          <w:rFonts w:hint="eastAsia" w:ascii="仿宋_GB2312" w:hAnsi="宋体" w:eastAsia="仿宋_GB2312" w:cs="Times New Roman"/>
          <w:sz w:val="32"/>
          <w:szCs w:val="32"/>
        </w:rPr>
        <w:t>积极应对新型城镇化发展，</w:t>
      </w:r>
      <w:r>
        <w:rPr>
          <w:rFonts w:hint="eastAsia" w:ascii="仿宋_GB2312" w:hAnsi="宋体" w:eastAsia="仿宋_GB2312" w:cs="宋体"/>
          <w:color w:val="000000"/>
          <w:kern w:val="0"/>
          <w:sz w:val="32"/>
          <w:szCs w:val="32"/>
        </w:rPr>
        <w:t>因地制宜发展共有产权住房，</w:t>
      </w:r>
      <w:r>
        <w:rPr>
          <w:rFonts w:hint="eastAsia" w:ascii="仿宋_GB2312" w:hAnsi="宋体" w:eastAsia="仿宋_GB2312" w:cs="Times New Roman"/>
          <w:sz w:val="32"/>
          <w:szCs w:val="32"/>
        </w:rPr>
        <w:t>分层次解决农业转移人口和外来务工人员的住房保障问题。到</w:t>
      </w:r>
      <w:r>
        <w:rPr>
          <w:rFonts w:hint="eastAsia" w:ascii="仿宋_GB2312" w:hAnsi="Times New Roman" w:eastAsia="仿宋_GB2312" w:cs="Times New Roman"/>
          <w:sz w:val="32"/>
          <w:szCs w:val="32"/>
        </w:rPr>
        <w:t>2025</w:t>
      </w:r>
      <w:r>
        <w:rPr>
          <w:rFonts w:hint="eastAsia" w:ascii="仿宋_GB2312" w:hAnsi="宋体" w:eastAsia="仿宋_GB2312" w:cs="Times New Roman"/>
          <w:sz w:val="32"/>
          <w:szCs w:val="32"/>
        </w:rPr>
        <w:t>年，全市城镇住房保障受益覆盖面</w:t>
      </w:r>
      <w:r>
        <w:rPr>
          <w:rFonts w:hint="eastAsia" w:ascii="仿宋_GB2312" w:hAnsi="Times New Roman" w:eastAsia="仿宋_GB2312" w:cs="Times New Roman"/>
          <w:sz w:val="32"/>
          <w:szCs w:val="32"/>
        </w:rPr>
        <w:t>25%</w:t>
      </w:r>
      <w:r>
        <w:rPr>
          <w:rFonts w:hint="eastAsia" w:ascii="仿宋_GB2312" w:hAnsi="宋体" w:eastAsia="仿宋_GB2312" w:cs="Times New Roman"/>
          <w:sz w:val="32"/>
          <w:szCs w:val="32"/>
        </w:rPr>
        <w:t>。</w:t>
      </w:r>
    </w:p>
    <w:p>
      <w:pPr>
        <w:widowControl/>
        <w:ind w:firstLine="643" w:firstLineChars="200"/>
        <w:jc w:val="left"/>
        <w:rPr>
          <w:rFonts w:ascii="仿宋_GB2312" w:eastAsia="仿宋_GB2312"/>
          <w:color w:val="000000"/>
          <w:sz w:val="32"/>
          <w:szCs w:val="32"/>
        </w:rPr>
      </w:pPr>
      <w:r>
        <w:rPr>
          <w:rFonts w:hint="eastAsia" w:ascii="仿宋_GB2312" w:eastAsia="仿宋_GB2312" w:hAnsiTheme="minorEastAsia"/>
          <w:b/>
          <w:sz w:val="32"/>
          <w:szCs w:val="32"/>
        </w:rPr>
        <w:t>积极推进城市更新。</w:t>
      </w:r>
      <w:r>
        <w:rPr>
          <w:rFonts w:ascii="仿宋_GB2312" w:hAnsi="Times New Roman" w:eastAsia="仿宋_GB2312" w:cs="Times New Roman"/>
          <w:sz w:val="32"/>
          <w:szCs w:val="32"/>
        </w:rPr>
        <w:t>加快未来社区试点建设，以未来社区理念统筹推进老旧小区改造和新建小区建设</w:t>
      </w:r>
      <w:r>
        <w:rPr>
          <w:rFonts w:hint="eastAsia" w:ascii="仿宋_GB2312" w:hAnsi="Times New Roman" w:eastAsia="仿宋_GB2312" w:cs="Times New Roman"/>
          <w:sz w:val="32"/>
          <w:szCs w:val="32"/>
        </w:rPr>
        <w:t>，培育建设一批未来社区省级试点。推进城中村、老旧小区改造提升，基本完成2000年以前建成老旧小区、房改房和公房小区改造。积极推动城镇棚户区改造，开工棚户区改造安置住房2.7万套。推进社区化改造，推进幸福邻里中心建设，优化托幼、教育、医疗、养老等设施布局，</w:t>
      </w:r>
      <w:r>
        <w:rPr>
          <w:rFonts w:hint="eastAsia" w:ascii="仿宋_GB2312" w:hAnsi="宋体" w:eastAsia="仿宋_GB2312" w:cs="宋体"/>
          <w:color w:val="000000"/>
          <w:kern w:val="0"/>
          <w:sz w:val="32"/>
          <w:szCs w:val="32"/>
        </w:rPr>
        <w:t>提升物业管理服务水平，</w:t>
      </w:r>
      <w:r>
        <w:rPr>
          <w:rFonts w:hint="eastAsia" w:ascii="仿宋_GB2312" w:hAnsi="Times New Roman" w:eastAsia="仿宋_GB2312" w:cs="Times New Roman"/>
          <w:sz w:val="32"/>
          <w:szCs w:val="32"/>
        </w:rPr>
        <w:t>打造“三生相宜”的高品质现代社区。</w:t>
      </w:r>
      <w:r>
        <w:rPr>
          <w:rFonts w:hint="eastAsia" w:ascii="仿宋_GB2312" w:eastAsia="仿宋_GB2312"/>
          <w:color w:val="000000"/>
          <w:sz w:val="32"/>
          <w:szCs w:val="32"/>
        </w:rPr>
        <w:t>融入绿色理念、历史底蕴和文化基因，精心塑造山海相依、城水乡宜、人水相亲的城市景观，打造一批水地标，建设都市风貌与山城水韵交相辉映的美丽城市。</w:t>
      </w:r>
    </w:p>
    <w:tbl>
      <w:tblPr>
        <w:tblStyle w:val="16"/>
        <w:tblW w:w="0" w:type="auto"/>
        <w:tblInd w:w="0" w:type="dxa"/>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shd w:val="clear" w:color="auto" w:fill="92CDDC" w:themeFill="accent5" w:themeFillTint="99"/>
          </w:tcPr>
          <w:p>
            <w:pPr>
              <w:rPr>
                <w:rFonts w:ascii="仿宋_GB2312" w:eastAsia="仿宋_GB2312" w:hAnsiTheme="minorEastAsia"/>
                <w:b/>
                <w:sz w:val="28"/>
                <w:szCs w:val="28"/>
              </w:rPr>
            </w:pPr>
            <w:r>
              <w:rPr>
                <w:rFonts w:hint="eastAsia" w:ascii="仿宋_GB2312" w:eastAsia="仿宋_GB2312" w:hAnsiTheme="minorEastAsia"/>
                <w:b/>
                <w:sz w:val="28"/>
                <w:szCs w:val="28"/>
              </w:rPr>
              <w:t>专栏11  “住有所居”重点工程</w:t>
            </w: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tcPr>
          <w:p>
            <w:pPr>
              <w:widowControl/>
              <w:spacing w:line="400" w:lineRule="exact"/>
              <w:ind w:firstLine="482" w:firstLineChars="200"/>
              <w:jc w:val="left"/>
              <w:rPr>
                <w:rFonts w:ascii="仿宋_GB2312" w:hAnsi="宋体" w:eastAsia="仿宋_GB2312" w:cs="宋体"/>
                <w:color w:val="000000"/>
                <w:kern w:val="0"/>
                <w:sz w:val="24"/>
                <w:szCs w:val="24"/>
              </w:rPr>
            </w:pPr>
            <w:r>
              <w:rPr>
                <w:rFonts w:hint="eastAsia" w:ascii="仿宋_GB2312" w:hAnsi="宋体" w:eastAsia="仿宋_GB2312" w:cs="宋体"/>
                <w:b/>
                <w:color w:val="000000"/>
                <w:kern w:val="0"/>
                <w:sz w:val="24"/>
                <w:szCs w:val="24"/>
              </w:rPr>
              <w:t>公共租赁住房。</w:t>
            </w:r>
            <w:r>
              <w:rPr>
                <w:rFonts w:hint="eastAsia" w:ascii="仿宋_GB2312" w:hAnsi="宋体" w:eastAsia="仿宋_GB2312" w:cs="宋体"/>
                <w:color w:val="000000"/>
                <w:kern w:val="0"/>
                <w:sz w:val="24"/>
                <w:szCs w:val="24"/>
              </w:rPr>
              <w:t>新增公共租赁住房等各类保障性住房保障对象</w:t>
            </w:r>
            <w:r>
              <w:rPr>
                <w:rFonts w:ascii="仿宋_GB2312" w:hAnsi="宋体" w:eastAsia="仿宋_GB2312" w:cs="宋体"/>
                <w:color w:val="000000"/>
                <w:kern w:val="0"/>
                <w:sz w:val="24"/>
                <w:szCs w:val="24"/>
              </w:rPr>
              <w:t>3500</w:t>
            </w:r>
            <w:r>
              <w:rPr>
                <w:rFonts w:hint="eastAsia" w:ascii="仿宋_GB2312" w:hAnsi="宋体" w:eastAsia="仿宋_GB2312" w:cs="宋体"/>
                <w:color w:val="000000"/>
                <w:kern w:val="0"/>
                <w:sz w:val="24"/>
                <w:szCs w:val="24"/>
              </w:rPr>
              <w:t>户以上（其中新增租赁补贴保障对象</w:t>
            </w:r>
            <w:r>
              <w:rPr>
                <w:rFonts w:ascii="仿宋_GB2312" w:hAnsi="宋体" w:eastAsia="仿宋_GB2312" w:cs="宋体"/>
                <w:color w:val="000000"/>
                <w:kern w:val="0"/>
                <w:sz w:val="24"/>
                <w:szCs w:val="24"/>
              </w:rPr>
              <w:t>3000</w:t>
            </w:r>
            <w:r>
              <w:rPr>
                <w:rFonts w:hint="eastAsia" w:ascii="仿宋_GB2312" w:hAnsi="宋体" w:eastAsia="仿宋_GB2312" w:cs="宋体"/>
                <w:color w:val="000000"/>
                <w:kern w:val="0"/>
                <w:sz w:val="24"/>
                <w:szCs w:val="24"/>
              </w:rPr>
              <w:t>户以上），政府公共租赁住房实物配租和租赁补贴累计保障家庭人数占城镇常住人口数的比例保持在</w:t>
            </w:r>
            <w:r>
              <w:rPr>
                <w:rFonts w:ascii="仿宋_GB2312" w:hAnsi="宋体" w:eastAsia="仿宋_GB2312" w:cs="宋体"/>
                <w:color w:val="000000"/>
                <w:kern w:val="0"/>
                <w:sz w:val="24"/>
                <w:szCs w:val="24"/>
              </w:rPr>
              <w:t>1.2%</w:t>
            </w:r>
            <w:r>
              <w:rPr>
                <w:rFonts w:hint="eastAsia" w:ascii="仿宋_GB2312" w:hAnsi="宋体" w:eastAsia="仿宋_GB2312" w:cs="宋体"/>
                <w:color w:val="000000"/>
                <w:kern w:val="0"/>
                <w:sz w:val="24"/>
                <w:szCs w:val="24"/>
              </w:rPr>
              <w:t xml:space="preserve">以上。 </w:t>
            </w:r>
          </w:p>
          <w:p>
            <w:pPr>
              <w:widowControl/>
              <w:spacing w:line="400" w:lineRule="exact"/>
              <w:ind w:firstLine="482" w:firstLineChars="200"/>
              <w:jc w:val="left"/>
              <w:rPr>
                <w:rFonts w:ascii="仿宋_GB2312" w:hAnsi="宋体" w:eastAsia="仿宋_GB2312" w:cs="宋体"/>
                <w:color w:val="000000"/>
                <w:kern w:val="0"/>
                <w:sz w:val="24"/>
                <w:szCs w:val="24"/>
              </w:rPr>
            </w:pPr>
            <w:r>
              <w:rPr>
                <w:rFonts w:hint="eastAsia" w:ascii="仿宋_GB2312" w:hAnsi="宋体" w:eastAsia="仿宋_GB2312" w:cs="宋体"/>
                <w:b/>
                <w:color w:val="000000"/>
                <w:kern w:val="0"/>
                <w:sz w:val="24"/>
                <w:szCs w:val="24"/>
              </w:rPr>
              <w:t>城镇棚户区住房改造。</w:t>
            </w:r>
            <w:r>
              <w:rPr>
                <w:rFonts w:hint="eastAsia" w:ascii="仿宋_GB2312" w:hAnsi="宋体" w:eastAsia="仿宋_GB2312" w:cs="宋体"/>
                <w:color w:val="000000"/>
                <w:kern w:val="0"/>
                <w:sz w:val="24"/>
                <w:szCs w:val="24"/>
              </w:rPr>
              <w:t>严把棚改项目准入关，优先改造集中成片、住房条件困难、安全隐患严重、群众要求迫切的项目。“十四五”期间，棚户区改造安置住房计划开工0.8万套。</w:t>
            </w:r>
          </w:p>
          <w:p>
            <w:pPr>
              <w:widowControl/>
              <w:spacing w:line="400" w:lineRule="exact"/>
              <w:ind w:firstLine="482" w:firstLineChars="200"/>
              <w:jc w:val="left"/>
              <w:rPr>
                <w:rFonts w:ascii="仿宋_GB2312" w:hAnsi="宋体" w:eastAsia="仿宋_GB2312" w:cs="宋体"/>
                <w:color w:val="000000"/>
                <w:kern w:val="0"/>
                <w:sz w:val="24"/>
                <w:szCs w:val="24"/>
              </w:rPr>
            </w:pPr>
            <w:r>
              <w:rPr>
                <w:rFonts w:hint="eastAsia" w:ascii="仿宋_GB2312" w:hAnsi="宋体" w:eastAsia="仿宋_GB2312" w:cs="宋体"/>
                <w:b/>
                <w:color w:val="000000"/>
                <w:kern w:val="0"/>
                <w:sz w:val="24"/>
                <w:szCs w:val="24"/>
              </w:rPr>
              <w:t>农村困难家庭危房改造。</w:t>
            </w:r>
            <w:r>
              <w:rPr>
                <w:rFonts w:hint="eastAsia" w:ascii="仿宋_GB2312" w:hAnsi="宋体" w:eastAsia="仿宋_GB2312" w:cs="宋体"/>
                <w:color w:val="000000"/>
                <w:kern w:val="0"/>
                <w:sz w:val="24"/>
                <w:szCs w:val="24"/>
              </w:rPr>
              <w:t>按户均15000元安排补助资金，支持符合条件的困难家庭改造危房，实现农村困难家庭即时救助工作的规范化、制度化、公开化、常态化，做到发现一户，改造一户，</w:t>
            </w:r>
            <w:r>
              <w:rPr>
                <w:rFonts w:hint="eastAsia" w:ascii="仿宋_GB2312" w:eastAsia="仿宋_GB2312"/>
                <w:sz w:val="24"/>
                <w:szCs w:val="24"/>
              </w:rPr>
              <w:t>重点解决农村建档立卡贫困户、分散供养特困人员、低保户和贫困残疾人家庭四类人群住房需求，守牢房屋安全底线。</w:t>
            </w:r>
          </w:p>
          <w:p>
            <w:pPr>
              <w:widowControl/>
              <w:spacing w:line="400" w:lineRule="exact"/>
              <w:ind w:firstLine="482" w:firstLineChars="200"/>
              <w:jc w:val="left"/>
              <w:rPr>
                <w:rFonts w:ascii="仿宋_GB2312" w:hAnsi="宋体" w:eastAsia="仿宋_GB2312" w:cs="宋体"/>
                <w:color w:val="000000"/>
                <w:kern w:val="0"/>
                <w:sz w:val="24"/>
                <w:szCs w:val="24"/>
              </w:rPr>
            </w:pPr>
            <w:r>
              <w:rPr>
                <w:rFonts w:hint="eastAsia" w:ascii="仿宋_GB2312" w:hAnsi="宋体" w:eastAsia="仿宋_GB2312" w:cs="宋体"/>
                <w:b/>
                <w:color w:val="000000"/>
                <w:kern w:val="0"/>
                <w:sz w:val="24"/>
                <w:szCs w:val="24"/>
              </w:rPr>
              <w:t>城镇老旧小区改造。</w:t>
            </w:r>
            <w:r>
              <w:rPr>
                <w:rFonts w:hint="eastAsia" w:ascii="仿宋_GB2312" w:hAnsi="宋体" w:eastAsia="仿宋_GB2312" w:cs="宋体"/>
                <w:color w:val="000000"/>
                <w:kern w:val="0"/>
                <w:sz w:val="24"/>
                <w:szCs w:val="24"/>
              </w:rPr>
              <w:t>以改造带动全面提升，实施老旧小区改造170个，惠及居民3.9万户以上，涉及建筑面积达480万平方米以上，高标准实施一批示范项目，打造城镇老旧小区改造示范样板小区9个以上，基本完成2000年以前建成老旧小区、房改房和公房小区改造。</w:t>
            </w:r>
          </w:p>
          <w:p>
            <w:pPr>
              <w:widowControl/>
              <w:spacing w:line="400" w:lineRule="exact"/>
              <w:ind w:firstLine="482" w:firstLineChars="200"/>
              <w:jc w:val="left"/>
              <w:rPr>
                <w:rFonts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未来社区建设。</w:t>
            </w:r>
            <w:r>
              <w:rPr>
                <w:rFonts w:ascii="仿宋_GB2312" w:hAnsi="宋体" w:eastAsia="仿宋_GB2312" w:cs="宋体"/>
                <w:color w:val="000000"/>
                <w:kern w:val="0"/>
                <w:sz w:val="24"/>
                <w:szCs w:val="24"/>
              </w:rPr>
              <w:t>加快推进椒江心海、台州湾新区沙北、黄岩东浦、路桥凤栖、临海六角井、玉环东风、仙居黄坦树等未来社区试点建设，</w:t>
            </w:r>
            <w:r>
              <w:rPr>
                <w:rFonts w:hint="eastAsia" w:ascii="仿宋_GB2312" w:hAnsi="宋体" w:eastAsia="仿宋_GB2312" w:cs="宋体"/>
                <w:color w:val="000000"/>
                <w:kern w:val="0"/>
                <w:sz w:val="24"/>
                <w:szCs w:val="24"/>
              </w:rPr>
              <w:t>培育建设未来社区省级试点**个。</w:t>
            </w:r>
          </w:p>
        </w:tc>
      </w:tr>
    </w:tbl>
    <w:p>
      <w:pPr>
        <w:ind w:firstLine="643" w:firstLineChars="200"/>
        <w:outlineLvl w:val="2"/>
        <w:rPr>
          <w:rFonts w:ascii="仿宋_GB2312" w:hAnsi="Times New Roman" w:eastAsia="仿宋_GB2312" w:cs="Times New Roman"/>
          <w:b/>
          <w:sz w:val="32"/>
          <w:szCs w:val="32"/>
        </w:rPr>
      </w:pPr>
      <w:bookmarkStart w:id="35" w:name="_Toc68980536"/>
      <w:bookmarkStart w:id="36" w:name="_Toc69259728"/>
      <w:r>
        <w:rPr>
          <w:rFonts w:hint="eastAsia" w:ascii="仿宋_GB2312" w:hAnsi="Times New Roman" w:eastAsia="仿宋_GB2312" w:cs="Times New Roman"/>
          <w:b/>
          <w:sz w:val="32"/>
          <w:szCs w:val="32"/>
        </w:rPr>
        <w:t>4、完善社会保障</w:t>
      </w:r>
      <w:bookmarkEnd w:id="35"/>
      <w:bookmarkEnd w:id="36"/>
    </w:p>
    <w:p>
      <w:pPr>
        <w:ind w:firstLine="643" w:firstLineChars="200"/>
        <w:rPr>
          <w:rFonts w:ascii="仿宋_GB2312" w:eastAsia="仿宋_GB2312" w:cs="Times New Roman" w:hAnsiTheme="minorEastAsia"/>
          <w:b/>
          <w:sz w:val="32"/>
          <w:szCs w:val="32"/>
        </w:rPr>
      </w:pPr>
      <w:r>
        <w:rPr>
          <w:rFonts w:hint="eastAsia" w:ascii="仿宋_GB2312" w:eastAsia="仿宋_GB2312" w:cs="Times New Roman" w:hAnsiTheme="minorEastAsia"/>
          <w:b/>
          <w:sz w:val="32"/>
          <w:szCs w:val="32"/>
        </w:rPr>
        <w:t>健全社会保险体系。</w:t>
      </w:r>
      <w:r>
        <w:rPr>
          <w:rFonts w:hint="eastAsia" w:ascii="仿宋_GB2312" w:eastAsia="仿宋_GB2312" w:hAnsiTheme="minorEastAsia"/>
          <w:sz w:val="32"/>
          <w:szCs w:val="32"/>
        </w:rPr>
        <w:t>全面实施全民参保计划，实现适龄人员应保尽保，基本实现法定人员全覆盖。</w:t>
      </w:r>
      <w:r>
        <w:rPr>
          <w:rFonts w:hint="eastAsia" w:ascii="仿宋_GB2312" w:eastAsia="仿宋_GB2312" w:cs="Times New Roman" w:hAnsiTheme="minorEastAsia"/>
          <w:sz w:val="32"/>
          <w:szCs w:val="32"/>
        </w:rPr>
        <w:t>完善城乡居民养老保险制度，积极发展企业年金、职业年金</w:t>
      </w:r>
      <w:r>
        <w:rPr>
          <w:rFonts w:hint="eastAsia" w:ascii="仿宋_GB2312" w:eastAsia="仿宋_GB2312" w:hAnsiTheme="minorEastAsia"/>
          <w:sz w:val="32"/>
          <w:szCs w:val="32"/>
        </w:rPr>
        <w:t>以及个人储蓄性养老保险和商业保险</w:t>
      </w:r>
      <w:r>
        <w:rPr>
          <w:rFonts w:hint="eastAsia" w:ascii="仿宋_GB2312" w:eastAsia="仿宋_GB2312" w:cs="Times New Roman" w:hAnsiTheme="minorEastAsia"/>
          <w:sz w:val="32"/>
          <w:szCs w:val="32"/>
        </w:rPr>
        <w:t>，构建多层次的养老保障体系。</w:t>
      </w:r>
      <w:r>
        <w:rPr>
          <w:rFonts w:hint="eastAsia" w:ascii="仿宋_GB2312" w:hAnsi="Times New Roman" w:eastAsia="仿宋_GB2312" w:cs="Times New Roman"/>
          <w:bCs/>
          <w:color w:val="000000" w:themeColor="text1"/>
          <w:sz w:val="32"/>
          <w:szCs w:val="32"/>
          <w14:textFill>
            <w14:solidFill>
              <w14:schemeClr w14:val="tx1"/>
            </w14:solidFill>
          </w14:textFill>
        </w:rPr>
        <w:t>加快做实基本医疗保障市级统筹，</w:t>
      </w:r>
      <w:r>
        <w:rPr>
          <w:rFonts w:hint="eastAsia" w:ascii="仿宋_GB2312" w:eastAsia="仿宋_GB2312" w:hAnsiTheme="minorEastAsia"/>
          <w:sz w:val="32"/>
          <w:szCs w:val="32"/>
        </w:rPr>
        <w:t>完善基本医疗保险参保机制</w:t>
      </w:r>
      <w:r>
        <w:rPr>
          <w:rFonts w:hint="eastAsia" w:ascii="仿宋_GB2312" w:eastAsia="仿宋_GB2312" w:cs="Times New Roman" w:hAnsiTheme="minorEastAsia"/>
          <w:sz w:val="32"/>
          <w:szCs w:val="32"/>
        </w:rPr>
        <w:t>，确保参保率稳定在</w:t>
      </w:r>
      <w:r>
        <w:rPr>
          <w:rFonts w:hint="eastAsia" w:ascii="仿宋_GB2312" w:hAnsi="Times New Roman" w:eastAsia="仿宋_GB2312" w:cs="Times New Roman"/>
          <w:sz w:val="32"/>
          <w:szCs w:val="32"/>
        </w:rPr>
        <w:t>99%</w:t>
      </w:r>
      <w:r>
        <w:rPr>
          <w:rFonts w:hint="eastAsia" w:ascii="仿宋_GB2312" w:eastAsia="仿宋_GB2312" w:cs="Times New Roman" w:hAnsiTheme="minorEastAsia"/>
          <w:sz w:val="32"/>
          <w:szCs w:val="32"/>
        </w:rPr>
        <w:t>以上；</w:t>
      </w:r>
      <w:r>
        <w:rPr>
          <w:rFonts w:hint="eastAsia" w:ascii="仿宋_GB2312" w:hAnsi="Times New Roman" w:eastAsia="仿宋_GB2312" w:cs="Times New Roman"/>
          <w:bCs/>
          <w:color w:val="000000" w:themeColor="text1"/>
          <w:sz w:val="32"/>
          <w:szCs w:val="32"/>
          <w14:textFill>
            <w14:solidFill>
              <w14:schemeClr w14:val="tx1"/>
            </w14:solidFill>
          </w14:textFill>
        </w:rPr>
        <w:t>健全重大疾病医疗保险和救助制度，大力发展商业补充医疗保险，探索建立长期护理保险制度。</w:t>
      </w:r>
      <w:r>
        <w:rPr>
          <w:rFonts w:hint="eastAsia" w:ascii="仿宋_GB2312" w:eastAsia="仿宋_GB2312" w:hAnsiTheme="minorEastAsia"/>
          <w:sz w:val="32"/>
          <w:szCs w:val="32"/>
        </w:rPr>
        <w:t>深化生育保险和职工基本医疗保险合并实施。完善失业保险制度，</w:t>
      </w:r>
      <w:r>
        <w:rPr>
          <w:rFonts w:hint="eastAsia" w:ascii="仿宋_GB2312" w:eastAsia="仿宋_GB2312" w:cs="Times New Roman" w:hAnsiTheme="minorEastAsia"/>
          <w:sz w:val="32"/>
          <w:szCs w:val="32"/>
        </w:rPr>
        <w:t>积极实行失业保险基金扩大支出试点</w:t>
      </w:r>
      <w:r>
        <w:rPr>
          <w:rFonts w:hint="eastAsia" w:ascii="仿宋_GB2312" w:eastAsia="仿宋_GB2312" w:hAnsiTheme="minorEastAsia"/>
          <w:sz w:val="32"/>
          <w:szCs w:val="32"/>
        </w:rPr>
        <w:t>，积极稳妥实行稳岗补贴政策。</w:t>
      </w:r>
      <w:r>
        <w:rPr>
          <w:rFonts w:hint="eastAsia" w:ascii="仿宋_GB2312" w:eastAsia="仿宋_GB2312" w:cs="Times New Roman" w:hAnsiTheme="minorEastAsia"/>
          <w:sz w:val="32"/>
          <w:szCs w:val="32"/>
        </w:rPr>
        <w:t>探索建立适应灵活就业人员参保的职业伤害保障制度。加强社保基金监管运营，确保基金保值增值。</w:t>
      </w:r>
    </w:p>
    <w:p>
      <w:pPr>
        <w:ind w:firstLine="643" w:firstLineChars="200"/>
        <w:rPr>
          <w:rFonts w:ascii="仿宋_GB2312" w:hAnsi="仿宋" w:eastAsia="仿宋_GB2312"/>
          <w:sz w:val="32"/>
          <w:szCs w:val="32"/>
        </w:rPr>
      </w:pPr>
      <w:r>
        <w:rPr>
          <w:rFonts w:hint="eastAsia" w:ascii="仿宋_GB2312" w:eastAsia="仿宋_GB2312" w:cs="Times New Roman" w:hAnsiTheme="minorEastAsia"/>
          <w:b/>
          <w:sz w:val="32"/>
          <w:szCs w:val="32"/>
        </w:rPr>
        <w:t>构筑精准救助体系。</w:t>
      </w:r>
      <w:r>
        <w:rPr>
          <w:rFonts w:hint="eastAsia" w:ascii="仿宋_GB2312" w:eastAsia="仿宋_GB2312"/>
          <w:bCs/>
          <w:color w:val="000000"/>
          <w:sz w:val="32"/>
          <w:szCs w:val="32"/>
        </w:rPr>
        <w:t>全面高效实施“大救助一件事”部门联办工作机制，</w:t>
      </w:r>
      <w:r>
        <w:rPr>
          <w:rFonts w:hint="eastAsia" w:ascii="仿宋_GB2312" w:eastAsia="仿宋_GB2312"/>
          <w:color w:val="000000"/>
          <w:sz w:val="32"/>
          <w:szCs w:val="32"/>
        </w:rPr>
        <w:t>深化</w:t>
      </w:r>
      <w:r>
        <w:rPr>
          <w:rFonts w:ascii="Times New Roman" w:hAnsi="Times New Roman" w:cs="Times New Roman"/>
          <w:color w:val="000000"/>
          <w:sz w:val="32"/>
          <w:szCs w:val="32"/>
        </w:rPr>
        <w:t>“1+8+X”</w:t>
      </w:r>
      <w:r>
        <w:rPr>
          <w:rFonts w:hint="eastAsia" w:ascii="仿宋_GB2312" w:eastAsia="仿宋_GB2312"/>
          <w:color w:val="000000"/>
          <w:sz w:val="32"/>
          <w:szCs w:val="32"/>
        </w:rPr>
        <w:t>社会救助体系建设，</w:t>
      </w:r>
      <w:r>
        <w:rPr>
          <w:rFonts w:hint="eastAsia" w:ascii="仿宋_GB2312" w:eastAsia="仿宋_GB2312" w:hAnsiTheme="minorEastAsia"/>
          <w:sz w:val="32"/>
          <w:szCs w:val="32"/>
        </w:rPr>
        <w:t>健全完善以最低生活保障、特困人员供养、受灾人员救助以及医疗救助、教育救助、住房救助、就业援助和临时救助为主体，以社会力量参与为补充的社会救助制度体系。</w:t>
      </w:r>
      <w:r>
        <w:rPr>
          <w:rFonts w:hint="eastAsia" w:ascii="仿宋_GB2312" w:hAnsi="仿宋" w:eastAsia="仿宋_GB2312"/>
          <w:sz w:val="32"/>
          <w:szCs w:val="32"/>
        </w:rPr>
        <w:t>适时修订最低生活保障办法，实现全市特困人员救助供养一体化。</w:t>
      </w:r>
      <w:r>
        <w:rPr>
          <w:rFonts w:hint="eastAsia" w:ascii="仿宋_GB2312" w:eastAsia="仿宋_GB2312" w:hAnsiTheme="minorEastAsia"/>
          <w:sz w:val="32"/>
          <w:szCs w:val="32"/>
        </w:rPr>
        <w:t>建立防范和化解因病致贫返贫长效机制，</w:t>
      </w:r>
      <w:r>
        <w:rPr>
          <w:rFonts w:hint="eastAsia" w:ascii="仿宋_GB2312" w:hAnsi="仿宋" w:eastAsia="仿宋_GB2312"/>
          <w:sz w:val="32"/>
          <w:szCs w:val="32"/>
        </w:rPr>
        <w:t>继续开展支出型贫困救助，尤其是</w:t>
      </w:r>
      <w:r>
        <w:rPr>
          <w:rFonts w:hint="eastAsia" w:ascii="仿宋_GB2312" w:eastAsia="仿宋_GB2312" w:hAnsiTheme="minorEastAsia"/>
          <w:sz w:val="32"/>
          <w:szCs w:val="32"/>
        </w:rPr>
        <w:t>重特大疾病救助力度，</w:t>
      </w:r>
      <w:r>
        <w:rPr>
          <w:rFonts w:hint="eastAsia" w:ascii="仿宋_GB2312" w:hAnsi="仿宋" w:eastAsia="仿宋_GB2312"/>
          <w:sz w:val="32"/>
          <w:szCs w:val="32"/>
        </w:rPr>
        <w:t>扩大社会救助覆盖面。</w:t>
      </w:r>
      <w:r>
        <w:rPr>
          <w:rFonts w:hint="eastAsia" w:ascii="仿宋_GB2312" w:hAnsi="宋体" w:eastAsia="仿宋_GB2312" w:cs="Times New Roman"/>
          <w:sz w:val="32"/>
          <w:szCs w:val="32"/>
        </w:rPr>
        <w:t>深入开展规范化避灾安置场所建设</w:t>
      </w:r>
      <w:r>
        <w:rPr>
          <w:rFonts w:hint="eastAsia" w:ascii="仿宋_GB2312" w:eastAsia="仿宋_GB2312" w:hAnsiTheme="minorEastAsia"/>
          <w:sz w:val="32"/>
          <w:szCs w:val="32"/>
        </w:rPr>
        <w:t>，</w:t>
      </w:r>
      <w:r>
        <w:rPr>
          <w:rFonts w:hint="eastAsia" w:ascii="仿宋_GB2312" w:hAnsi="宋体" w:eastAsia="仿宋_GB2312" w:cs="Times New Roman"/>
          <w:sz w:val="32"/>
          <w:szCs w:val="32"/>
        </w:rPr>
        <w:t>加强救灾物资储备</w:t>
      </w:r>
      <w:r>
        <w:rPr>
          <w:rFonts w:hint="eastAsia" w:ascii="仿宋_GB2312" w:eastAsia="仿宋_GB2312" w:hAnsiTheme="minorEastAsia"/>
          <w:sz w:val="32"/>
          <w:szCs w:val="32"/>
        </w:rPr>
        <w:t>和供给</w:t>
      </w:r>
      <w:r>
        <w:rPr>
          <w:rFonts w:hint="eastAsia" w:ascii="仿宋_GB2312" w:hAnsi="宋体" w:eastAsia="仿宋_GB2312" w:cs="Times New Roman"/>
          <w:sz w:val="32"/>
          <w:szCs w:val="32"/>
        </w:rPr>
        <w:t>。</w:t>
      </w:r>
      <w:r>
        <w:rPr>
          <w:rFonts w:hint="eastAsia" w:ascii="仿宋_GB2312" w:eastAsia="仿宋_GB2312" w:hAnsiTheme="minorEastAsia"/>
          <w:sz w:val="32"/>
          <w:szCs w:val="32"/>
        </w:rPr>
        <w:t>加强流浪乞讨人员救助服务。</w:t>
      </w:r>
      <w:r>
        <w:rPr>
          <w:rFonts w:hint="eastAsia" w:ascii="仿宋_GB2312" w:hAnsi="仿宋" w:eastAsia="仿宋_GB2312"/>
          <w:sz w:val="32"/>
          <w:szCs w:val="32"/>
        </w:rPr>
        <w:t>大力推行“互联网+救助”，构建市、县、乡、村四级联动机制，打造“智慧救助”示范区。</w:t>
      </w:r>
    </w:p>
    <w:p>
      <w:pPr>
        <w:ind w:firstLine="643" w:firstLineChars="200"/>
        <w:rPr>
          <w:rFonts w:ascii="仿宋_GB2312" w:hAnsi="Times New Roman" w:eastAsia="仿宋_GB2312" w:cs="Times New Roman"/>
          <w:sz w:val="32"/>
          <w:szCs w:val="32"/>
        </w:rPr>
      </w:pPr>
      <w:r>
        <w:rPr>
          <w:rFonts w:hint="eastAsia" w:ascii="仿宋_GB2312" w:eastAsia="仿宋_GB2312" w:cs="Times New Roman" w:hAnsiTheme="minorEastAsia"/>
          <w:b/>
          <w:sz w:val="32"/>
          <w:szCs w:val="32"/>
        </w:rPr>
        <w:t>健全社会福利体</w:t>
      </w:r>
      <w:r>
        <w:rPr>
          <w:rFonts w:hint="eastAsia" w:ascii="仿宋_GB2312" w:hAnsi="Times New Roman" w:eastAsia="仿宋_GB2312" w:cs="Times New Roman"/>
          <w:b/>
          <w:sz w:val="32"/>
          <w:szCs w:val="32"/>
        </w:rPr>
        <w:t>系。</w:t>
      </w:r>
      <w:r>
        <w:rPr>
          <w:rFonts w:hint="eastAsia" w:ascii="仿宋_GB2312" w:hAnsi="Times New Roman" w:eastAsia="仿宋_GB2312" w:cs="Times New Roman"/>
          <w:sz w:val="32"/>
          <w:szCs w:val="32"/>
        </w:rPr>
        <w:t>持续实施“添翼计划”，优化留守、流动、困境儿童的关爱保护举措，实施“儿童之家”建设行动，推进</w:t>
      </w:r>
      <w:r>
        <w:rPr>
          <w:rFonts w:hint="eastAsia" w:ascii="仿宋_GB2312" w:eastAsia="仿宋_GB2312" w:hAnsiTheme="minorEastAsia"/>
          <w:sz w:val="32"/>
          <w:szCs w:val="32"/>
        </w:rPr>
        <w:t>基础型儿童之家应建尽建。大力推进社会福利设施建设，建成市社会福利院</w:t>
      </w:r>
      <w:r>
        <w:rPr>
          <w:rFonts w:hint="eastAsia" w:ascii="仿宋_GB2312" w:hAnsi="Times New Roman" w:eastAsia="仿宋_GB2312" w:cs="Times New Roman"/>
          <w:sz w:val="32"/>
          <w:szCs w:val="32"/>
        </w:rPr>
        <w:t>，鼓励有条件的县（市、区）建设社会福利中心（福利院）。</w:t>
      </w:r>
      <w:r>
        <w:rPr>
          <w:rFonts w:hint="eastAsia" w:ascii="仿宋_GB2312" w:eastAsia="仿宋_GB2312" w:hAnsiTheme="minorEastAsia"/>
          <w:sz w:val="32"/>
          <w:szCs w:val="32"/>
        </w:rPr>
        <w:t>加快精神障碍社区康复服务场所建设，通过政府购买服务等方式，鼓励和引导各类精神卫生医疗机构、社会组织开展多层次、多元化的精神障碍社区康复服务。加强残疾人就业、康复、托养等保障，推进</w:t>
      </w:r>
      <w:r>
        <w:rPr>
          <w:rFonts w:hint="eastAsia" w:ascii="仿宋_GB2312" w:hAnsi="Times New Roman" w:eastAsia="仿宋_GB2312" w:cs="Times New Roman"/>
          <w:sz w:val="32"/>
          <w:szCs w:val="32"/>
        </w:rPr>
        <w:t>“残疾人之家”建设。大力发展社会慈善事业。加强“五保”、“三无”人群的生活保障服务，城镇“三无”集中供养率达到**%，农村“五保”集中供养率达到**%。</w:t>
      </w:r>
    </w:p>
    <w:tbl>
      <w:tblPr>
        <w:tblStyle w:val="16"/>
        <w:tblW w:w="0" w:type="auto"/>
        <w:tblInd w:w="0" w:type="dxa"/>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shd w:val="clear" w:color="auto" w:fill="92CDDC" w:themeFill="accent5" w:themeFillTint="99"/>
          </w:tcPr>
          <w:p>
            <w:pPr>
              <w:rPr>
                <w:rFonts w:ascii="仿宋_GB2312" w:hAnsi="Times New Roman" w:eastAsia="仿宋_GB2312" w:cs="Times New Roman"/>
                <w:b/>
                <w:bCs/>
                <w:color w:val="000000" w:themeColor="text1"/>
                <w:sz w:val="28"/>
                <w:szCs w:val="28"/>
                <w14:textFill>
                  <w14:solidFill>
                    <w14:schemeClr w14:val="tx1"/>
                  </w14:solidFill>
                </w14:textFill>
              </w:rPr>
            </w:pPr>
            <w:r>
              <w:rPr>
                <w:rFonts w:hint="eastAsia" w:ascii="仿宋_GB2312" w:hAnsi="Times New Roman" w:eastAsia="仿宋_GB2312" w:cs="Times New Roman"/>
                <w:b/>
                <w:color w:val="000000"/>
                <w:sz w:val="28"/>
                <w:szCs w:val="28"/>
              </w:rPr>
              <w:t>专栏12  完善社会保障体系重大工程</w:t>
            </w: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tcPr>
          <w:p>
            <w:pPr>
              <w:spacing w:line="400" w:lineRule="exact"/>
              <w:ind w:firstLine="482" w:firstLineChars="200"/>
              <w:rPr>
                <w:rFonts w:ascii="仿宋_GB2312" w:hAnsi="Times New Roman" w:eastAsia="仿宋_GB2312" w:cs="Times New Roman"/>
                <w:sz w:val="24"/>
                <w:szCs w:val="24"/>
              </w:rPr>
            </w:pPr>
            <w:r>
              <w:rPr>
                <w:rFonts w:hint="eastAsia" w:ascii="仿宋_GB2312" w:eastAsia="仿宋_GB2312" w:hAnsiTheme="minorEastAsia"/>
                <w:b/>
                <w:sz w:val="24"/>
                <w:szCs w:val="24"/>
              </w:rPr>
              <w:t>大</w:t>
            </w:r>
            <w:r>
              <w:rPr>
                <w:rFonts w:hint="eastAsia" w:ascii="仿宋_GB2312" w:eastAsia="仿宋_GB2312" w:cs="Times New Roman" w:hAnsiTheme="minorEastAsia"/>
                <w:b/>
                <w:sz w:val="24"/>
                <w:szCs w:val="24"/>
              </w:rPr>
              <w:t>救助</w:t>
            </w:r>
            <w:r>
              <w:rPr>
                <w:rFonts w:hint="eastAsia" w:ascii="仿宋_GB2312" w:hAnsi="Times New Roman" w:eastAsia="仿宋_GB2312" w:cs="Times New Roman"/>
                <w:b/>
                <w:sz w:val="24"/>
                <w:szCs w:val="24"/>
              </w:rPr>
              <w:t>“</w:t>
            </w:r>
            <w:r>
              <w:rPr>
                <w:rFonts w:hint="eastAsia" w:ascii="仿宋_GB2312" w:eastAsia="仿宋_GB2312" w:cs="Times New Roman" w:hAnsiTheme="minorEastAsia"/>
                <w:b/>
                <w:sz w:val="24"/>
                <w:szCs w:val="24"/>
              </w:rPr>
              <w:t>一件事</w:t>
            </w:r>
            <w:r>
              <w:rPr>
                <w:rFonts w:hint="eastAsia" w:ascii="仿宋_GB2312" w:hAnsi="Times New Roman" w:eastAsia="仿宋_GB2312" w:cs="Times New Roman"/>
                <w:b/>
                <w:sz w:val="24"/>
                <w:szCs w:val="24"/>
              </w:rPr>
              <w:t>”集成改革工程。</w:t>
            </w:r>
            <w:r>
              <w:rPr>
                <w:rFonts w:hint="eastAsia" w:ascii="仿宋_GB2312" w:eastAsia="仿宋_GB2312" w:cs="Times New Roman"/>
                <w:sz w:val="24"/>
                <w:szCs w:val="24"/>
              </w:rPr>
              <w:t>统筹</w:t>
            </w:r>
            <w:r>
              <w:rPr>
                <w:rFonts w:hint="eastAsia" w:ascii="仿宋_GB2312" w:hAnsi="Times New Roman" w:eastAsia="仿宋_GB2312" w:cs="Times New Roman"/>
                <w:sz w:val="24"/>
                <w:szCs w:val="24"/>
              </w:rPr>
              <w:t>“8+X”</w:t>
            </w:r>
            <w:r>
              <w:rPr>
                <w:rFonts w:hint="eastAsia" w:ascii="仿宋_GB2312" w:eastAsia="仿宋_GB2312" w:cs="Times New Roman"/>
                <w:sz w:val="24"/>
                <w:szCs w:val="24"/>
              </w:rPr>
              <w:t>社会救助资源，建立常态化探访制度，健全困难群众的精准识别和主动发现机制，推</w:t>
            </w:r>
            <w:r>
              <w:rPr>
                <w:rFonts w:hint="eastAsia" w:ascii="仿宋_GB2312" w:hAnsi="Times New Roman" w:eastAsia="仿宋_GB2312" w:cs="Times New Roman"/>
                <w:sz w:val="24"/>
                <w:szCs w:val="24"/>
              </w:rPr>
              <w:t>行“一次申请、协同救助”的一</w:t>
            </w:r>
            <w:r>
              <w:rPr>
                <w:rFonts w:hint="eastAsia" w:ascii="仿宋_GB2312" w:eastAsia="仿宋_GB2312" w:cs="Times New Roman"/>
                <w:sz w:val="24"/>
                <w:szCs w:val="24"/>
              </w:rPr>
              <w:t>站式服务模式，构建</w:t>
            </w:r>
            <w:r>
              <w:rPr>
                <w:rFonts w:hint="eastAsia" w:ascii="仿宋_GB2312" w:hAnsi="Times New Roman" w:eastAsia="仿宋_GB2312" w:cs="Times New Roman"/>
                <w:sz w:val="24"/>
                <w:szCs w:val="24"/>
              </w:rPr>
              <w:t>“资源统筹、部门联动、社会参与、数据共享”的大救助体系。</w:t>
            </w:r>
          </w:p>
          <w:p>
            <w:pPr>
              <w:spacing w:line="400" w:lineRule="exact"/>
              <w:ind w:firstLine="482"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残疾人服务设施建设工程。</w:t>
            </w:r>
            <w:r>
              <w:rPr>
                <w:rFonts w:hint="eastAsia" w:ascii="仿宋_GB2312" w:hAnsi="Times New Roman" w:eastAsia="仿宋_GB2312" w:cs="Times New Roman"/>
                <w:sz w:val="24"/>
                <w:szCs w:val="24"/>
              </w:rPr>
              <w:t>人口相对集聚的1万人以上的乡镇（街道）建有1家规范化“残疾人之家”，建立台州市残疾人托养和照料服务实训基地，建设一批专业残疾人康复和托养服务机构，配备相应设备和人员，开展全方位康复和托养服务。</w:t>
            </w:r>
          </w:p>
          <w:p>
            <w:pPr>
              <w:spacing w:line="400" w:lineRule="exact"/>
              <w:ind w:firstLine="482" w:firstLineChars="200"/>
              <w:rPr>
                <w:rFonts w:ascii="仿宋_GB2312" w:eastAsia="仿宋_GB2312"/>
                <w:sz w:val="24"/>
                <w:szCs w:val="24"/>
              </w:rPr>
            </w:pPr>
            <w:r>
              <w:rPr>
                <w:rFonts w:hint="eastAsia" w:ascii="仿宋_GB2312" w:eastAsia="仿宋_GB2312"/>
                <w:b/>
                <w:sz w:val="24"/>
                <w:szCs w:val="24"/>
              </w:rPr>
              <w:t>精准救助工程。实施</w:t>
            </w:r>
            <w:r>
              <w:rPr>
                <w:rFonts w:hint="eastAsia" w:ascii="仿宋_GB2312" w:eastAsia="仿宋_GB2312"/>
                <w:sz w:val="24"/>
                <w:szCs w:val="24"/>
              </w:rPr>
              <w:t>“激励激发”引导，全面落实社会力量参与社会救助所享受财政补贴、税收优惠、费用减免等各项政策，引导社会力量参与。实施“智慧助救”创建，构建智慧救助联合体，全力推进线上线下一体运作。实施“暖巢关爱”普及，对老年救助对象开展居住与生活设施适老化改造。实施“幸福清单”送达。汇聚各部门帮扶救助资源，定期发放“幸福清单”。实施“爱心向善”促进，引导企业、社会组织、社会工作者、志愿者参与社会救助。</w:t>
            </w:r>
          </w:p>
          <w:p>
            <w:pPr>
              <w:spacing w:line="400" w:lineRule="exact"/>
              <w:ind w:firstLine="482" w:firstLineChars="200"/>
              <w:rPr>
                <w:rFonts w:ascii="仿宋_GB2312" w:eastAsia="仿宋_GB2312"/>
                <w:sz w:val="24"/>
                <w:szCs w:val="24"/>
              </w:rPr>
            </w:pPr>
            <w:r>
              <w:rPr>
                <w:rFonts w:hint="eastAsia" w:ascii="仿宋_GB2312" w:hAnsi="Times New Roman" w:eastAsia="仿宋_GB2312" w:cs="Times New Roman"/>
                <w:b/>
                <w:sz w:val="24"/>
                <w:szCs w:val="24"/>
              </w:rPr>
              <w:t>“儿童之家”建设工程。</w:t>
            </w:r>
            <w:r>
              <w:rPr>
                <w:rFonts w:hint="eastAsia" w:ascii="仿宋_GB2312" w:eastAsia="仿宋_GB2312"/>
                <w:color w:val="000000"/>
                <w:sz w:val="24"/>
                <w:szCs w:val="24"/>
              </w:rPr>
              <w:t>依托村（社区）服务中心、新时代文明实践站、社区文化家园、农村文化礼堂等设施，推动与乡村学校少年宫、“春泥计划”实施点、农家书屋等阵地资源衔接，以“1+N”的方式（即1个示范性儿童之家联结N个基础型儿童之家），在全市创建500家示范儿童之家，基础型儿童之家应建尽建，儿童之家服务全覆盖。</w:t>
            </w:r>
          </w:p>
        </w:tc>
      </w:tr>
    </w:tbl>
    <w:p>
      <w:pPr>
        <w:ind w:firstLine="643" w:firstLineChars="200"/>
        <w:jc w:val="left"/>
        <w:outlineLvl w:val="1"/>
        <w:rPr>
          <w:rFonts w:ascii="仿宋_GB2312" w:eastAsia="仿宋_GB2312"/>
          <w:b/>
          <w:sz w:val="32"/>
          <w:szCs w:val="32"/>
        </w:rPr>
      </w:pPr>
      <w:bookmarkStart w:id="37" w:name="_Toc68980537"/>
      <w:bookmarkStart w:id="38" w:name="_Toc69259729"/>
      <w:r>
        <w:rPr>
          <w:rFonts w:hint="eastAsia" w:ascii="仿宋_GB2312" w:eastAsia="仿宋_GB2312"/>
          <w:b/>
          <w:sz w:val="32"/>
          <w:szCs w:val="32"/>
        </w:rPr>
        <w:t>（四）社会治理“安民”行动</w:t>
      </w:r>
      <w:bookmarkEnd w:id="37"/>
      <w:bookmarkEnd w:id="38"/>
    </w:p>
    <w:p>
      <w:pPr>
        <w:ind w:firstLine="640" w:firstLineChars="200"/>
        <w:jc w:val="left"/>
        <w:rPr>
          <w:rFonts w:ascii="仿宋_GB2312" w:eastAsia="仿宋_GB2312"/>
          <w:sz w:val="32"/>
          <w:szCs w:val="32"/>
        </w:rPr>
      </w:pPr>
      <w:r>
        <w:rPr>
          <w:rFonts w:hint="eastAsia" w:ascii="仿宋_GB2312" w:eastAsia="仿宋_GB2312" w:hAnsiTheme="minorEastAsia"/>
          <w:sz w:val="32"/>
          <w:szCs w:val="32"/>
        </w:rPr>
        <w:t>秉承“安民”理念，紧扣社会结构新变化，坚持以群众需求和社会治理难点为导向，</w:t>
      </w:r>
      <w:r>
        <w:rPr>
          <w:rFonts w:hint="eastAsia" w:ascii="仿宋_GB2312" w:eastAsia="仿宋_GB2312"/>
          <w:sz w:val="32"/>
          <w:szCs w:val="32"/>
        </w:rPr>
        <w:t>着力完善城市治理体系和基层社会治理体系，推动社会治理数字化、精细化、科学化、规范化、制度化，大力提升社会治理能力现代化水平，打造平安和谐台州。</w:t>
      </w:r>
    </w:p>
    <w:p>
      <w:pPr>
        <w:ind w:firstLine="640" w:firstLineChars="200"/>
        <w:outlineLvl w:val="2"/>
        <w:rPr>
          <w:rFonts w:ascii="Times New Roman" w:hAnsi="Times New Roman" w:cs="Times New Roman"/>
          <w:b/>
          <w:bCs/>
          <w:color w:val="000000"/>
          <w:sz w:val="32"/>
          <w:szCs w:val="32"/>
        </w:rPr>
      </w:pPr>
      <w:bookmarkStart w:id="39" w:name="_Toc69259730"/>
      <w:bookmarkStart w:id="40" w:name="_Toc68980538"/>
      <w:r>
        <w:rPr>
          <w:rFonts w:hint="eastAsia" w:ascii="仿宋_GB2312" w:eastAsia="仿宋_GB2312"/>
          <w:color w:val="000000"/>
          <w:sz w:val="32"/>
          <w:szCs w:val="32"/>
        </w:rPr>
        <w:t>1、</w:t>
      </w:r>
      <w:r>
        <w:rPr>
          <w:rFonts w:hint="eastAsia" w:ascii="楷体_GB2312" w:eastAsia="楷体_GB2312"/>
          <w:b/>
          <w:bCs/>
          <w:color w:val="000000"/>
          <w:sz w:val="32"/>
          <w:szCs w:val="32"/>
        </w:rPr>
        <w:t>推进社会治理领域</w:t>
      </w:r>
      <w:r>
        <w:rPr>
          <w:rFonts w:ascii="Times New Roman" w:hAnsi="Times New Roman" w:cs="Times New Roman"/>
          <w:b/>
          <w:bCs/>
          <w:color w:val="000000"/>
          <w:sz w:val="32"/>
          <w:szCs w:val="32"/>
        </w:rPr>
        <w:t>“</w:t>
      </w:r>
      <w:r>
        <w:rPr>
          <w:rFonts w:hint="eastAsia" w:ascii="楷体_GB2312" w:eastAsia="楷体_GB2312"/>
          <w:b/>
          <w:bCs/>
          <w:color w:val="000000"/>
          <w:sz w:val="32"/>
          <w:szCs w:val="32"/>
        </w:rPr>
        <w:t>最多跑一地</w:t>
      </w:r>
      <w:r>
        <w:rPr>
          <w:rFonts w:ascii="Times New Roman" w:hAnsi="Times New Roman" w:cs="Times New Roman"/>
          <w:b/>
          <w:bCs/>
          <w:color w:val="000000"/>
          <w:sz w:val="32"/>
          <w:szCs w:val="32"/>
        </w:rPr>
        <w:t>”</w:t>
      </w:r>
      <w:bookmarkEnd w:id="39"/>
    </w:p>
    <w:p>
      <w:pPr>
        <w:ind w:firstLine="640" w:firstLineChars="200"/>
        <w:rPr>
          <w:rFonts w:ascii="宋体" w:hAnsi="宋体" w:eastAsia="宋体" w:cs="宋体"/>
          <w:kern w:val="0"/>
          <w:sz w:val="24"/>
          <w:szCs w:val="24"/>
        </w:rPr>
      </w:pPr>
      <w:bookmarkStart w:id="41" w:name="_Toc69259731"/>
      <w:r>
        <w:rPr>
          <w:rFonts w:hint="eastAsia" w:ascii="仿宋_GB2312" w:eastAsia="仿宋_GB2312"/>
          <w:color w:val="000000"/>
          <w:sz w:val="32"/>
          <w:szCs w:val="32"/>
        </w:rPr>
        <w:t>深入实施“十百千”工程，全力打造“和合善治同心圆”。推进“最多跑一地”改革，加强县级社会矛盾纠纷调处化解中心建设以及“基层治理四平台”运行管理，深化全科网格责任捆绑建设，全面构建上下联动、左右协调的县域社会治理现代化体系。推进“县乡一体、条抓块统”改革。</w:t>
      </w:r>
      <w:r>
        <w:rPr>
          <w:rFonts w:hint="eastAsia" w:ascii="仿宋_GB2312" w:hAnsi="宋体" w:eastAsia="仿宋_GB2312" w:cs="宋体"/>
          <w:color w:val="000000"/>
          <w:kern w:val="0"/>
          <w:sz w:val="32"/>
          <w:szCs w:val="32"/>
        </w:rPr>
        <w:t>完善信访制度，健全社会心理服务体系和危机干预机制，完善社会矛盾纠纷多元预防调处化解综合机制，</w:t>
      </w:r>
      <w:r>
        <w:rPr>
          <w:rFonts w:hint="eastAsia" w:ascii="仿宋_GB2312" w:eastAsia="仿宋_GB2312"/>
          <w:color w:val="000000"/>
          <w:sz w:val="32"/>
          <w:szCs w:val="32"/>
        </w:rPr>
        <w:t>坚持和发展新时代枫桥经验，</w:t>
      </w:r>
      <w:r>
        <w:rPr>
          <w:rFonts w:hint="eastAsia" w:ascii="仿宋_GB2312" w:hAnsi="宋体" w:eastAsia="仿宋_GB2312" w:cs="宋体"/>
          <w:color w:val="000000"/>
          <w:kern w:val="0"/>
          <w:sz w:val="32"/>
          <w:szCs w:val="32"/>
        </w:rPr>
        <w:t>推动社会治理触角向每个角落延伸，把矛盾化解在基层、解决在萌芽状态，</w:t>
      </w:r>
      <w:r>
        <w:rPr>
          <w:rFonts w:hint="eastAsia" w:ascii="仿宋_GB2312" w:eastAsia="仿宋_GB2312"/>
          <w:color w:val="000000"/>
          <w:sz w:val="32"/>
          <w:szCs w:val="32"/>
        </w:rPr>
        <w:t>强化数字赋能社会治理，通过大数据和人工智能实现基层管理事务分类分流、按责转办和精准交办，</w:t>
      </w:r>
      <w:r>
        <w:rPr>
          <w:rFonts w:hint="eastAsia" w:ascii="仿宋_GB2312" w:hAnsi="宋体" w:eastAsia="仿宋_GB2312" w:cs="宋体"/>
          <w:color w:val="000000"/>
          <w:kern w:val="0"/>
          <w:sz w:val="32"/>
          <w:szCs w:val="32"/>
        </w:rPr>
        <w:t>提高社会治理社会化法治化智能化专业化水平。</w:t>
      </w:r>
      <w:bookmarkEnd w:id="41"/>
    </w:p>
    <w:p>
      <w:pPr>
        <w:ind w:firstLine="643" w:firstLineChars="200"/>
        <w:outlineLvl w:val="2"/>
        <w:rPr>
          <w:rFonts w:ascii="仿宋_GB2312" w:hAnsi="Times New Roman" w:eastAsia="仿宋_GB2312" w:cs="Times New Roman"/>
          <w:b/>
          <w:sz w:val="32"/>
          <w:szCs w:val="32"/>
        </w:rPr>
      </w:pPr>
      <w:bookmarkStart w:id="42" w:name="_Toc69259732"/>
      <w:r>
        <w:rPr>
          <w:rFonts w:hint="eastAsia" w:ascii="仿宋_GB2312" w:hAnsi="Times New Roman" w:eastAsia="仿宋_GB2312" w:cs="Times New Roman"/>
          <w:b/>
          <w:sz w:val="32"/>
          <w:szCs w:val="32"/>
        </w:rPr>
        <w:t>2、构建聚合性社区治理体系</w:t>
      </w:r>
      <w:bookmarkEnd w:id="40"/>
      <w:bookmarkEnd w:id="42"/>
    </w:p>
    <w:p>
      <w:pPr>
        <w:spacing w:line="592" w:lineRule="exact"/>
        <w:ind w:firstLine="640" w:firstLineChars="200"/>
        <w:rPr>
          <w:rFonts w:ascii="仿宋_GB2312" w:hAnsi="仿宋" w:eastAsia="仿宋_GB2312"/>
          <w:sz w:val="32"/>
          <w:szCs w:val="32"/>
        </w:rPr>
      </w:pPr>
      <w:r>
        <w:rPr>
          <w:rFonts w:hint="eastAsia" w:ascii="仿宋_GB2312" w:hAnsi="Calibri" w:eastAsia="仿宋_GB2312" w:cs="Times New Roman"/>
          <w:sz w:val="32"/>
          <w:szCs w:val="32"/>
        </w:rPr>
        <w:t>推进市域社会治理现代化试点城市建设。</w:t>
      </w:r>
      <w:r>
        <w:rPr>
          <w:rFonts w:hint="eastAsia" w:ascii="仿宋_GB2312" w:hAnsi="宋体" w:eastAsia="仿宋_GB2312" w:cs="宋体"/>
          <w:color w:val="000000"/>
          <w:kern w:val="0"/>
          <w:sz w:val="32"/>
          <w:szCs w:val="32"/>
        </w:rPr>
        <w:t>强化基层党组织领导核心地位，探索</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一肩挑</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村级组织权力运行监管机制，</w:t>
      </w:r>
      <w:r>
        <w:rPr>
          <w:rFonts w:hint="eastAsia" w:ascii="仿宋_GB2312" w:hAnsi="仿宋" w:eastAsia="仿宋_GB2312"/>
          <w:sz w:val="32"/>
          <w:szCs w:val="32"/>
        </w:rPr>
        <w:t>加快推行社区自治清单、社区服务清单和共建单位服务清单，畅通社会组织（特别是社区社会组织）、社会工作、志愿服务参与基层治理渠道，全面推进“邻距里”社区服务综合体建设，推动形成“社区大党委+社会组织+居民自治”的 “聚合型治理体系”。</w:t>
      </w:r>
      <w:r>
        <w:rPr>
          <w:rFonts w:hint="eastAsia" w:ascii="仿宋_GB2312" w:eastAsia="仿宋_GB2312"/>
          <w:color w:val="000000"/>
          <w:sz w:val="32"/>
          <w:szCs w:val="32"/>
        </w:rPr>
        <w:t>深化政治、自治、法治、德治、智治“五治”融合，创新乡村治理机制，探索打造一体化乡镇服务中心，培育400个省级善治示范村。</w:t>
      </w:r>
    </w:p>
    <w:tbl>
      <w:tblPr>
        <w:tblStyle w:val="16"/>
        <w:tblW w:w="0" w:type="auto"/>
        <w:tblInd w:w="0" w:type="dxa"/>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shd w:val="clear" w:color="auto" w:fill="92CDDC" w:themeFill="accent5" w:themeFillTint="99"/>
          </w:tcPr>
          <w:p>
            <w:pPr>
              <w:rPr>
                <w:rFonts w:ascii="仿宋_GB2312" w:hAnsi="Times New Roman" w:eastAsia="仿宋_GB2312" w:cs="Times New Roman"/>
                <w:b/>
                <w:bCs/>
                <w:color w:val="000000" w:themeColor="text1"/>
                <w:sz w:val="28"/>
                <w:szCs w:val="28"/>
                <w14:textFill>
                  <w14:solidFill>
                    <w14:schemeClr w14:val="tx1"/>
                  </w14:solidFill>
                </w14:textFill>
              </w:rPr>
            </w:pPr>
            <w:r>
              <w:rPr>
                <w:rFonts w:hint="eastAsia" w:ascii="仿宋_GB2312" w:hAnsi="Times New Roman" w:eastAsia="仿宋_GB2312" w:cs="Times New Roman"/>
                <w:b/>
                <w:color w:val="000000"/>
                <w:sz w:val="28"/>
                <w:szCs w:val="28"/>
              </w:rPr>
              <w:t>专栏13  聚合性治理体系建设重点工程</w:t>
            </w: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tcPr>
          <w:p>
            <w:pPr>
              <w:pStyle w:val="14"/>
              <w:widowControl w:val="0"/>
              <w:snapToGrid w:val="0"/>
              <w:spacing w:before="0" w:beforeAutospacing="0" w:after="0" w:afterAutospacing="0" w:line="400" w:lineRule="exact"/>
              <w:ind w:firstLine="482" w:firstLineChars="200"/>
              <w:jc w:val="both"/>
              <w:rPr>
                <w:rFonts w:hint="eastAsia" w:ascii="仿宋_GB2312" w:hAnsi="Times New Roman" w:eastAsia="仿宋_GB2312" w:cs="Times New Roman"/>
              </w:rPr>
            </w:pPr>
            <w:r>
              <w:rPr>
                <w:rFonts w:hint="eastAsia" w:ascii="仿宋_GB2312" w:hAnsi="Times New Roman" w:eastAsia="仿宋_GB2312" w:cs="Times New Roman"/>
                <w:b/>
              </w:rPr>
              <w:t>“邻距里”社区服务综合体建设。</w:t>
            </w:r>
            <w:r>
              <w:rPr>
                <w:rFonts w:hint="eastAsia" w:ascii="仿宋_GB2312" w:hAnsi="Times New Roman" w:eastAsia="仿宋_GB2312" w:cs="Times New Roman"/>
              </w:rPr>
              <w:t>制定年度计划，高标准建设100个集公共服务、商业服务、志愿互助服务及医疗卫生、养老与儿童青少年服务、邻里交往、居民议事等于一身的“一站式”美好社区“邻距里”综合体服务，实行社区服务综合体社会化运行。</w:t>
            </w:r>
          </w:p>
          <w:p>
            <w:pPr>
              <w:pStyle w:val="14"/>
              <w:widowControl w:val="0"/>
              <w:snapToGrid w:val="0"/>
              <w:spacing w:before="0" w:beforeAutospacing="0" w:after="0" w:afterAutospacing="0" w:line="400" w:lineRule="exact"/>
              <w:ind w:firstLine="482" w:firstLineChars="200"/>
              <w:jc w:val="both"/>
              <w:rPr>
                <w:rFonts w:hint="eastAsia" w:ascii="仿宋_GB2312" w:hAnsi="Times New Roman" w:eastAsia="仿宋_GB2312" w:cs="Times New Roman"/>
                <w:b/>
              </w:rPr>
            </w:pPr>
            <w:r>
              <w:rPr>
                <w:rFonts w:hint="eastAsia" w:ascii="仿宋_GB2312" w:hAnsi="Times New Roman" w:eastAsia="仿宋_GB2312" w:cs="Times New Roman"/>
                <w:b/>
              </w:rPr>
              <w:t>“党领共治”机制建设。</w:t>
            </w:r>
            <w:r>
              <w:rPr>
                <w:rFonts w:hint="eastAsia" w:ascii="仿宋_GB2312" w:hAnsi="Times New Roman" w:eastAsia="仿宋_GB2312" w:cs="Times New Roman"/>
              </w:rPr>
              <w:t>构建基层党组织领导下的政府、社会、市场共治机制，推进政府购买服务向多元购买转型，探索社区服务综合体长效化运行机制。</w:t>
            </w:r>
          </w:p>
          <w:p>
            <w:pPr>
              <w:pStyle w:val="14"/>
              <w:widowControl w:val="0"/>
              <w:snapToGrid w:val="0"/>
              <w:spacing w:before="0" w:beforeAutospacing="0" w:after="0" w:afterAutospacing="0" w:line="400" w:lineRule="exact"/>
              <w:ind w:firstLine="482" w:firstLineChars="200"/>
              <w:jc w:val="both"/>
              <w:rPr>
                <w:rFonts w:ascii="Times New Roman" w:hAnsi="Times New Roman" w:cs="Times New Roman"/>
                <w:bCs/>
              </w:rPr>
            </w:pPr>
            <w:r>
              <w:rPr>
                <w:rFonts w:hint="eastAsia" w:ascii="仿宋_GB2312" w:hAnsi="Times New Roman" w:eastAsia="仿宋_GB2312" w:cs="Times New Roman"/>
                <w:b/>
              </w:rPr>
              <w:t>“多方聚合”治理提升。</w:t>
            </w:r>
            <w:r>
              <w:rPr>
                <w:rFonts w:hint="eastAsia" w:ascii="仿宋_GB2312" w:hAnsi="Times New Roman" w:eastAsia="仿宋_GB2312" w:cs="Times New Roman"/>
                <w:bCs/>
              </w:rPr>
              <w:t>探索社会组织、社会工作机构、志愿服务机构、慈善组织、物业公司、辖区单位等多方治理主体在党组织的统一领导下，实现场地、资源、人才、项目等聚合。到2025年，全市持证社会工作专业人才总量达到1.5万人，培育品牌社会组织60家、领军人物100名。</w:t>
            </w:r>
          </w:p>
        </w:tc>
      </w:tr>
    </w:tbl>
    <w:p>
      <w:pPr>
        <w:ind w:firstLine="643" w:firstLineChars="200"/>
        <w:outlineLvl w:val="2"/>
        <w:rPr>
          <w:rFonts w:ascii="仿宋_GB2312" w:hAnsi="Times New Roman" w:eastAsia="仿宋_GB2312" w:cs="Times New Roman"/>
          <w:b/>
          <w:sz w:val="32"/>
          <w:szCs w:val="32"/>
        </w:rPr>
      </w:pPr>
      <w:bookmarkStart w:id="43" w:name="_Toc68980539"/>
      <w:bookmarkStart w:id="44" w:name="_Toc69259733"/>
      <w:r>
        <w:rPr>
          <w:rFonts w:hint="eastAsia" w:ascii="仿宋_GB2312" w:hAnsi="Times New Roman" w:eastAsia="仿宋_GB2312" w:cs="Times New Roman"/>
          <w:b/>
          <w:sz w:val="32"/>
          <w:szCs w:val="32"/>
        </w:rPr>
        <w:t>3、推进平安台州建设</w:t>
      </w:r>
      <w:bookmarkEnd w:id="43"/>
      <w:bookmarkEnd w:id="44"/>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纵深推进安全生产综合整治三年行动计划，突出问题专项整治，重大问题挂牌整治；健全落实应急救援联席会议制度、应急救援指挥和联动机制，实施应急管理指挥平台升级改造工程，完成自然灾害数字化管理系统、安全生产数字化管理系统建设。深入开展规范化避灾安置场所建设，进一步提升基层减灾避灾能力。以创建国家食品安全示范城市和打造药品安全双码精密智控系统为抓手，健全食品安全监管体系，完善药品安全风险隐患治理体系；开展放心消费城市创建，探索食品安全责任保险，优化消费环境。推进消防预警大数据中心建设，全面提升社会火灾防控能力、灭火应急救援能力。完善调解联动体系，推广矛盾纠纷多元化解机制，充分发挥县级</w:t>
      </w:r>
      <w:r>
        <w:rPr>
          <w:rFonts w:hint="eastAsia" w:ascii="仿宋_GB2312" w:hAnsi="Times New Roman" w:eastAsia="仿宋_GB2312" w:cs="Times New Roman"/>
          <w:sz w:val="32"/>
          <w:szCs w:val="32"/>
        </w:rPr>
        <w:t>“矛调中心”的集</w:t>
      </w:r>
      <w:r>
        <w:rPr>
          <w:rFonts w:hint="eastAsia" w:ascii="仿宋_GB2312" w:hAnsi="Calibri" w:eastAsia="仿宋_GB2312" w:cs="Times New Roman"/>
          <w:sz w:val="32"/>
          <w:szCs w:val="32"/>
        </w:rPr>
        <w:t>成优势，打造社会矛盾纠纷综合治理机制。常态化开展扫黑除恶工作，防范打击新型犯罪，大力推进以</w:t>
      </w:r>
      <w:r>
        <w:rPr>
          <w:rFonts w:hint="eastAsia" w:ascii="仿宋_GB2312" w:hAnsi="Times New Roman" w:eastAsia="仿宋_GB2312" w:cs="Times New Roman"/>
          <w:sz w:val="32"/>
          <w:szCs w:val="32"/>
        </w:rPr>
        <w:t>“雪亮工程”“智安小区”“智安单位”等为重</w:t>
      </w:r>
      <w:r>
        <w:rPr>
          <w:rFonts w:hint="eastAsia" w:ascii="仿宋_GB2312" w:hAnsi="Calibri" w:eastAsia="仿宋_GB2312" w:cs="Times New Roman"/>
          <w:sz w:val="32"/>
          <w:szCs w:val="32"/>
        </w:rPr>
        <w:t>点的全域智能防控建设。坚持内防反弹、外防输入，加强疫情防控。</w:t>
      </w:r>
    </w:p>
    <w:p>
      <w:pPr>
        <w:ind w:firstLine="643" w:firstLineChars="200"/>
        <w:outlineLvl w:val="2"/>
        <w:rPr>
          <w:rFonts w:ascii="仿宋_GB2312" w:hAnsi="Times New Roman" w:eastAsia="仿宋_GB2312" w:cs="Times New Roman"/>
          <w:b/>
          <w:sz w:val="32"/>
          <w:szCs w:val="32"/>
        </w:rPr>
      </w:pPr>
      <w:bookmarkStart w:id="45" w:name="_Toc68980540"/>
      <w:bookmarkStart w:id="46" w:name="_Toc69259734"/>
      <w:r>
        <w:rPr>
          <w:rFonts w:hint="eastAsia" w:ascii="仿宋_GB2312" w:hAnsi="Times New Roman" w:eastAsia="仿宋_GB2312" w:cs="Times New Roman"/>
          <w:b/>
          <w:sz w:val="32"/>
          <w:szCs w:val="32"/>
        </w:rPr>
        <w:t>4、加强法治台州建设</w:t>
      </w:r>
      <w:bookmarkEnd w:id="45"/>
      <w:bookmarkEnd w:id="46"/>
    </w:p>
    <w:p>
      <w:pPr>
        <w:spacing w:line="592" w:lineRule="exact"/>
        <w:ind w:firstLine="640" w:firstLineChars="200"/>
        <w:rPr>
          <w:rFonts w:ascii="仿宋_GB2312" w:hAnsi="Times New Roman" w:eastAsia="仿宋_GB2312" w:cs="Times New Roman"/>
          <w:sz w:val="32"/>
          <w:szCs w:val="32"/>
        </w:rPr>
      </w:pPr>
      <w:r>
        <w:rPr>
          <w:rFonts w:hint="eastAsia" w:ascii="仿宋_GB2312" w:eastAsia="仿宋_GB2312"/>
          <w:color w:val="000000"/>
          <w:sz w:val="32"/>
          <w:szCs w:val="32"/>
        </w:rPr>
        <w:t>全面推进依法治市，着力打造法治中国浙江示范区的台州样本。贯彻省委建设法治浙江决策部署，构建形成“党委领导、系统推进、部门负责、纵横联动、齐抓共管”的法治工作格局。加强地方立法工作，谋划出台法治建设规划，探索立法调研统筹协调工作机制，完善“请你来立法”工作机制。健全法治监督体系，推进关键少数履行法治建设职责制度建设，培育示范创建点位。推进法治政府建设，全面推进</w:t>
      </w:r>
      <w:r>
        <w:rPr>
          <w:rFonts w:hint="eastAsia" w:ascii="仿宋_GB2312" w:hAnsi="Times New Roman" w:eastAsia="仿宋_GB2312" w:cs="Times New Roman"/>
          <w:sz w:val="32"/>
          <w:szCs w:val="32"/>
        </w:rPr>
        <w:t>政务公开，优化行政审批制度，加强行政执法监督，实施行政复议便民、亲民、惠民三大工程。深化社区矫正“队建制”改革，全面推进社区矫正中心和智慧矫正系统建设，推进社区矫正专业社团组织培育。深入开展“八五”普法工作，构建社会“大普法”格局，全覆盖推进宪法宣传教育和重点法律宣讲，培育法治文化示范点。</w:t>
      </w:r>
      <w:r>
        <w:rPr>
          <w:rFonts w:hint="eastAsia" w:ascii="仿宋_GB2312" w:hAnsi="Times New Roman" w:eastAsia="仿宋_GB2312" w:cs="Times New Roman"/>
          <w:sz w:val="32"/>
          <w:szCs w:val="32"/>
        </w:rPr>
        <w:tab/>
      </w:r>
      <w:r>
        <w:rPr>
          <w:rFonts w:hint="eastAsia" w:ascii="仿宋_GB2312" w:eastAsia="仿宋_GB2312"/>
          <w:color w:val="000000"/>
          <w:spacing w:val="-6"/>
          <w:sz w:val="32"/>
          <w:szCs w:val="32"/>
        </w:rPr>
        <w:t>加强法治人才和队伍建设，提升数字法治发展水平。到2025年，全市每万人口拥有律师数达到3人。</w:t>
      </w:r>
    </w:p>
    <w:p>
      <w:pPr>
        <w:ind w:firstLine="643" w:firstLineChars="200"/>
        <w:outlineLvl w:val="2"/>
        <w:rPr>
          <w:rFonts w:ascii="仿宋_GB2312" w:hAnsi="Times New Roman" w:eastAsia="仿宋_GB2312" w:cs="Times New Roman"/>
          <w:b/>
          <w:sz w:val="32"/>
          <w:szCs w:val="32"/>
        </w:rPr>
      </w:pPr>
      <w:bookmarkStart w:id="47" w:name="_Toc68980541"/>
      <w:bookmarkStart w:id="48" w:name="_Toc69259735"/>
      <w:r>
        <w:rPr>
          <w:rFonts w:hint="eastAsia" w:ascii="仿宋_GB2312" w:hAnsi="Times New Roman" w:eastAsia="仿宋_GB2312" w:cs="Times New Roman"/>
          <w:b/>
          <w:sz w:val="32"/>
          <w:szCs w:val="32"/>
        </w:rPr>
        <w:t>5、深化信用台州建设</w:t>
      </w:r>
      <w:bookmarkEnd w:id="47"/>
      <w:bookmarkEnd w:id="48"/>
    </w:p>
    <w:p>
      <w:pPr>
        <w:ind w:firstLine="640" w:firstLineChars="200"/>
        <w:rPr>
          <w:rFonts w:ascii="仿宋_GB2312" w:hAnsi="Calibri" w:eastAsia="仿宋_GB2312" w:cs="Times New Roman"/>
          <w:sz w:val="32"/>
          <w:szCs w:val="32"/>
        </w:rPr>
      </w:pPr>
      <w:r>
        <w:rPr>
          <w:rFonts w:hint="eastAsia" w:ascii="仿宋_GB2312" w:eastAsia="仿宋_GB2312"/>
          <w:color w:val="000000"/>
          <w:sz w:val="32"/>
          <w:szCs w:val="32"/>
        </w:rPr>
        <w:t>贯深入落实</w:t>
      </w:r>
      <w:r>
        <w:rPr>
          <w:rFonts w:hint="eastAsia" w:ascii="仿宋_GB2312" w:hAnsi="Calibri" w:eastAsia="仿宋_GB2312" w:cs="Times New Roman"/>
          <w:color w:val="000000"/>
          <w:sz w:val="32"/>
          <w:szCs w:val="32"/>
        </w:rPr>
        <w:t>《台州市企业信用促进条例》，创建国家社会信用体系建设示范城市。构建企业市场信用归集机制，</w:t>
      </w:r>
      <w:r>
        <w:rPr>
          <w:rFonts w:hint="eastAsia" w:ascii="仿宋_GB2312" w:hAnsi="Calibri" w:eastAsia="仿宋_GB2312" w:cs="Times New Roman"/>
          <w:sz w:val="32"/>
          <w:szCs w:val="32"/>
        </w:rPr>
        <w:t>迭代完善信用评价体系，</w:t>
      </w:r>
      <w:r>
        <w:rPr>
          <w:rFonts w:hint="eastAsia" w:ascii="仿宋_GB2312" w:hAnsi="Calibri" w:eastAsia="仿宋_GB2312" w:cs="Times New Roman"/>
          <w:color w:val="000000"/>
          <w:sz w:val="32"/>
          <w:szCs w:val="32"/>
        </w:rPr>
        <w:t>推进在政务服务、融资信贷、行业监管等领域深入应用。鼓励行业协会、企业和其他市场主体在生产经营、市场交易等活动中使用企业信用信息，降低民营企业交易风险。加快构建以信用为基础的新型监管机制，完善信用红、黑名单认定与监管机制，根据企业信用状况实施分层分类、差异化监管。</w:t>
      </w:r>
      <w:r>
        <w:rPr>
          <w:rFonts w:hint="eastAsia" w:ascii="仿宋_GB2312" w:hAnsi="Calibri" w:eastAsia="仿宋_GB2312" w:cs="Times New Roman"/>
          <w:sz w:val="32"/>
          <w:szCs w:val="32"/>
        </w:rPr>
        <w:t>完善、升级全市统一的公共信用信息平台，推进信用应用场景建设</w:t>
      </w:r>
      <w:r>
        <w:rPr>
          <w:rFonts w:hint="eastAsia" w:ascii="仿宋_GB2312" w:hAnsi="Calibri" w:eastAsia="仿宋_GB2312" w:cs="Times New Roman"/>
          <w:color w:val="000000"/>
          <w:sz w:val="32"/>
          <w:szCs w:val="32"/>
        </w:rPr>
        <w:t>，重点完善行政审批信用承诺制，构建行政审批信用承诺监管闭环，进一步推进审批和监管提速增效。</w:t>
      </w:r>
    </w:p>
    <w:p>
      <w:pPr>
        <w:ind w:firstLine="643" w:firstLineChars="200"/>
        <w:jc w:val="left"/>
        <w:outlineLvl w:val="1"/>
        <w:rPr>
          <w:rFonts w:ascii="仿宋_GB2312" w:eastAsia="仿宋_GB2312"/>
          <w:b/>
          <w:sz w:val="32"/>
          <w:szCs w:val="32"/>
        </w:rPr>
      </w:pPr>
      <w:bookmarkStart w:id="49" w:name="_Toc68980542"/>
      <w:bookmarkStart w:id="50" w:name="_Toc69259736"/>
      <w:r>
        <w:rPr>
          <w:rFonts w:hint="eastAsia" w:ascii="仿宋_GB2312" w:eastAsia="仿宋_GB2312"/>
          <w:b/>
          <w:sz w:val="32"/>
          <w:szCs w:val="32"/>
        </w:rPr>
        <w:t>（五）社会产业“利民”行动</w:t>
      </w:r>
      <w:bookmarkEnd w:id="49"/>
      <w:bookmarkEnd w:id="50"/>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秉承“利民”理念，以放宽准入、完善政策为核心，积极发展教育培训、休闲旅游、康养服务、文化体育等产业，不断满足人民群众日益增长的高品质、多样化服务需求，推动社会服务产业实现跨越式发展。</w:t>
      </w:r>
    </w:p>
    <w:p>
      <w:pPr>
        <w:ind w:firstLine="643" w:firstLineChars="200"/>
        <w:outlineLvl w:val="2"/>
        <w:rPr>
          <w:rFonts w:ascii="仿宋_GB2312" w:hAnsi="Times New Roman" w:eastAsia="仿宋_GB2312" w:cs="Times New Roman"/>
          <w:b/>
          <w:sz w:val="32"/>
          <w:szCs w:val="32"/>
        </w:rPr>
      </w:pPr>
      <w:bookmarkStart w:id="51" w:name="_Toc68980543"/>
      <w:bookmarkStart w:id="52" w:name="_Toc69259737"/>
      <w:r>
        <w:rPr>
          <w:rFonts w:hint="eastAsia" w:ascii="仿宋_GB2312" w:hAnsi="Times New Roman" w:eastAsia="仿宋_GB2312" w:cs="Times New Roman"/>
          <w:b/>
          <w:sz w:val="32"/>
          <w:szCs w:val="32"/>
        </w:rPr>
        <w:t>1、大力发展教育培训</w:t>
      </w:r>
      <w:bookmarkEnd w:id="51"/>
      <w:bookmarkEnd w:id="52"/>
    </w:p>
    <w:p>
      <w:pPr>
        <w:ind w:firstLine="640" w:firstLineChars="200"/>
        <w:rPr>
          <w:rFonts w:ascii="仿宋_GB2312" w:hAnsi="Times New Roman" w:eastAsia="仿宋_GB2312" w:cs="Times New Roman"/>
          <w:sz w:val="32"/>
          <w:szCs w:val="32"/>
        </w:rPr>
      </w:pPr>
      <w:r>
        <w:rPr>
          <w:rFonts w:hint="eastAsia" w:ascii="仿宋_GB2312" w:eastAsia="仿宋_GB2312" w:hAnsiTheme="minorEastAsia"/>
          <w:sz w:val="32"/>
          <w:szCs w:val="32"/>
        </w:rPr>
        <w:t>以产业发展和社会需求为导向，加快相关教育培训设施建设，大力发展职业教育、继续教育、职业技能培训、社会文化生活教育等教育培训业。推进职业教育与继续教育融通，统筹开展职业教育社会培训，健全面向全体劳动者的职业培训制度，提供可选择的多样化教育培训服务。支持职业院校、行业企业等开展教育培训，依托施教机构和教育基地，开展新型专业技术人员知识更新继续教育。引导全市社会教育培训机构向专业化和集团化方向发展，重点扶持一批培训质量高、社会效益好、信誉度高的社会教育培训机构，打造一批教育培训品牌。引入一批办学实力强、社会知名度高的全国性教育培训机构，开展综合性教育培训服务。</w:t>
      </w:r>
    </w:p>
    <w:p>
      <w:pPr>
        <w:ind w:firstLine="643" w:firstLineChars="200"/>
        <w:outlineLvl w:val="2"/>
        <w:rPr>
          <w:rFonts w:ascii="仿宋_GB2312" w:hAnsi="Times New Roman" w:eastAsia="仿宋_GB2312" w:cs="Times New Roman"/>
          <w:b/>
          <w:sz w:val="32"/>
          <w:szCs w:val="32"/>
        </w:rPr>
      </w:pPr>
      <w:bookmarkStart w:id="53" w:name="_Toc68980544"/>
      <w:bookmarkStart w:id="54" w:name="_Toc69259738"/>
      <w:r>
        <w:rPr>
          <w:rFonts w:hint="eastAsia" w:ascii="仿宋_GB2312" w:hAnsi="Times New Roman" w:eastAsia="仿宋_GB2312" w:cs="Times New Roman"/>
          <w:b/>
          <w:sz w:val="32"/>
          <w:szCs w:val="32"/>
        </w:rPr>
        <w:t>2、提质发展休闲旅游</w:t>
      </w:r>
      <w:bookmarkEnd w:id="53"/>
      <w:bookmarkEnd w:id="54"/>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深入实施全域旅游发展战略，充分挖掘旅游“全产业链”的创新潜力，</w:t>
      </w:r>
      <w:bookmarkStart w:id="55" w:name="_Hlk531876080"/>
      <w:r>
        <w:rPr>
          <w:rFonts w:hint="eastAsia" w:ascii="仿宋_GB2312" w:eastAsia="仿宋_GB2312" w:cs="Times New Roman" w:hAnsiTheme="minorEastAsia"/>
          <w:sz w:val="32"/>
          <w:szCs w:val="32"/>
        </w:rPr>
        <w:t>打造国际知名、国内一流的最具山海魅力旅游目的地。</w:t>
      </w:r>
      <w:bookmarkEnd w:id="55"/>
      <w:r>
        <w:rPr>
          <w:rFonts w:hint="eastAsia" w:ascii="仿宋_GB2312" w:eastAsia="仿宋_GB2312" w:cs="Times New Roman" w:hAnsiTheme="minorEastAsia"/>
          <w:sz w:val="32"/>
          <w:szCs w:val="32"/>
        </w:rPr>
        <w:t>创新旅游产品体系，着力提升发展以天台山、神仙居为代表的名山品牌，以</w:t>
      </w:r>
      <w:r>
        <w:rPr>
          <w:rFonts w:hint="eastAsia" w:ascii="仿宋_GB2312" w:hAnsi="Times New Roman" w:eastAsia="仿宋_GB2312" w:cs="Times New Roman"/>
          <w:sz w:val="32"/>
          <w:szCs w:val="32"/>
        </w:rPr>
        <w:t>“</w:t>
      </w:r>
      <w:r>
        <w:rPr>
          <w:rFonts w:hint="eastAsia" w:ascii="仿宋_GB2312" w:eastAsia="仿宋_GB2312" w:cs="Times New Roman" w:hAnsiTheme="minorEastAsia"/>
          <w:sz w:val="32"/>
          <w:szCs w:val="32"/>
        </w:rPr>
        <w:t>台州府城</w:t>
      </w:r>
      <w:r>
        <w:rPr>
          <w:rFonts w:hint="eastAsia" w:ascii="仿宋_GB2312" w:hAnsi="Times New Roman" w:eastAsia="仿宋_GB2312" w:cs="Times New Roman"/>
          <w:sz w:val="32"/>
          <w:szCs w:val="32"/>
        </w:rPr>
        <w:t>”</w:t>
      </w:r>
      <w:r>
        <w:rPr>
          <w:rFonts w:hint="eastAsia" w:ascii="仿宋_GB2312" w:eastAsia="仿宋_GB2312" w:cs="Times New Roman" w:hAnsiTheme="minorEastAsia"/>
          <w:sz w:val="32"/>
          <w:szCs w:val="32"/>
        </w:rPr>
        <w:t>为代表的古城品牌，以</w:t>
      </w:r>
      <w:r>
        <w:rPr>
          <w:rFonts w:hint="eastAsia" w:ascii="仿宋_GB2312" w:hAnsi="Times New Roman" w:eastAsia="仿宋_GB2312" w:cs="Times New Roman"/>
          <w:sz w:val="32"/>
          <w:szCs w:val="32"/>
        </w:rPr>
        <w:t>“</w:t>
      </w:r>
      <w:r>
        <w:rPr>
          <w:rFonts w:hint="eastAsia" w:ascii="仿宋_GB2312" w:eastAsia="仿宋_GB2312" w:cs="Times New Roman" w:hAnsiTheme="minorEastAsia"/>
          <w:sz w:val="32"/>
          <w:szCs w:val="32"/>
        </w:rPr>
        <w:t>海洋海岛</w:t>
      </w:r>
      <w:r>
        <w:rPr>
          <w:rFonts w:hint="eastAsia" w:ascii="仿宋_GB2312" w:hAnsi="Times New Roman" w:eastAsia="仿宋_GB2312" w:cs="Times New Roman"/>
          <w:sz w:val="32"/>
          <w:szCs w:val="32"/>
        </w:rPr>
        <w:t>”</w:t>
      </w:r>
      <w:r>
        <w:rPr>
          <w:rFonts w:hint="eastAsia" w:ascii="仿宋_GB2312" w:eastAsia="仿宋_GB2312" w:cs="Times New Roman" w:hAnsiTheme="minorEastAsia"/>
          <w:sz w:val="32"/>
          <w:szCs w:val="32"/>
        </w:rPr>
        <w:t>为代表的滨海品牌。大力推进</w:t>
      </w:r>
      <w:r>
        <w:rPr>
          <w:rFonts w:hint="eastAsia" w:ascii="仿宋_GB2312" w:hAnsi="宋体" w:eastAsia="仿宋_GB2312" w:cs="Times New Roman"/>
          <w:sz w:val="32"/>
          <w:szCs w:val="32"/>
        </w:rPr>
        <w:t>大陈岛红色文化旅游度假区</w:t>
      </w:r>
      <w:r>
        <w:rPr>
          <w:rFonts w:hint="eastAsia" w:ascii="仿宋_GB2312" w:eastAsia="仿宋_GB2312" w:cs="Times New Roman" w:hAnsiTheme="minorEastAsia"/>
          <w:sz w:val="32"/>
          <w:szCs w:val="32"/>
        </w:rPr>
        <w:t>、头门港—桃渚古城</w:t>
      </w:r>
      <w:r>
        <w:rPr>
          <w:rFonts w:hint="eastAsia" w:ascii="仿宋_GB2312" w:hAnsi="宋体" w:eastAsia="仿宋_GB2312" w:cs="Times New Roman"/>
          <w:sz w:val="32"/>
          <w:szCs w:val="32"/>
        </w:rPr>
        <w:t>旅游度假区</w:t>
      </w:r>
      <w:r>
        <w:rPr>
          <w:rFonts w:hint="eastAsia" w:ascii="仿宋_GB2312" w:eastAsia="仿宋_GB2312" w:cs="Times New Roman" w:hAnsiTheme="minorEastAsia"/>
          <w:sz w:val="32"/>
          <w:szCs w:val="32"/>
        </w:rPr>
        <w:t>、</w:t>
      </w:r>
      <w:r>
        <w:rPr>
          <w:rFonts w:hint="eastAsia" w:ascii="仿宋_GB2312" w:hAnsi="宋体" w:eastAsia="仿宋_GB2312" w:cs="Times New Roman"/>
          <w:sz w:val="32"/>
          <w:szCs w:val="32"/>
        </w:rPr>
        <w:t>温岭石塘半岛世界</w:t>
      </w:r>
      <w:r>
        <w:rPr>
          <w:rFonts w:hint="eastAsia" w:ascii="仿宋_GB2312" w:hAnsi="Times New Roman" w:eastAsia="仿宋_GB2312" w:cs="Times New Roman"/>
          <w:sz w:val="32"/>
          <w:szCs w:val="32"/>
        </w:rPr>
        <w:t>旅游目的地、天台县石梁镇魅力“唐诗小镇”等重点旅游区块建设。建设“浙里好玩”台州分平台，推进台州市智慧旅游平台建设，提升旅游服务的智慧化水平。加快旅游集散枢纽地建设，完善旅游交通服务体系。深化区域旅游合作，主动融入长三角文化旅游圈，探索开通旅游专列和直通车，实行旅游同城化优惠措施，建立旅游协同发展平台，推动区域旅游一体化。到2025年，实现旅游总收入3000亿元，接待游客人数达到2.5亿人次。</w:t>
      </w:r>
    </w:p>
    <w:p>
      <w:pPr>
        <w:ind w:firstLine="643" w:firstLineChars="200"/>
        <w:outlineLvl w:val="2"/>
        <w:rPr>
          <w:rFonts w:ascii="仿宋_GB2312" w:hAnsi="Times New Roman" w:eastAsia="仿宋_GB2312" w:cs="Times New Roman"/>
          <w:b/>
          <w:sz w:val="32"/>
          <w:szCs w:val="32"/>
        </w:rPr>
      </w:pPr>
      <w:bookmarkStart w:id="56" w:name="_Toc68980545"/>
      <w:bookmarkStart w:id="57" w:name="_Toc69259739"/>
      <w:r>
        <w:rPr>
          <w:rFonts w:hint="eastAsia" w:ascii="仿宋_GB2312" w:hAnsi="Times New Roman" w:eastAsia="仿宋_GB2312" w:cs="Times New Roman"/>
          <w:b/>
          <w:sz w:val="32"/>
          <w:szCs w:val="32"/>
        </w:rPr>
        <w:t>3、创新发展康养服务</w:t>
      </w:r>
      <w:bookmarkEnd w:id="56"/>
      <w:bookmarkEnd w:id="57"/>
    </w:p>
    <w:p>
      <w:pPr>
        <w:widowControl/>
        <w:ind w:firstLine="640" w:firstLineChars="200"/>
        <w:jc w:val="left"/>
        <w:rPr>
          <w:rFonts w:ascii="仿宋_GB2312" w:hAnsi="Times New Roman" w:eastAsia="仿宋_GB2312" w:cs="Times New Roman"/>
          <w:sz w:val="32"/>
          <w:szCs w:val="32"/>
        </w:rPr>
      </w:pPr>
      <w:r>
        <w:rPr>
          <w:rFonts w:hint="eastAsia" w:ascii="仿宋_GB2312" w:hAnsi="宋体" w:eastAsia="仿宋_GB2312" w:cs="宋体"/>
          <w:color w:val="000000"/>
          <w:kern w:val="0"/>
          <w:sz w:val="32"/>
          <w:szCs w:val="32"/>
        </w:rPr>
        <w:t>全面放开康养服务市场，鼓励民间资本积极参与，</w:t>
      </w:r>
      <w:r>
        <w:rPr>
          <w:rFonts w:hint="eastAsia" w:ascii="仿宋_GB2312" w:hAnsi="Times New Roman" w:eastAsia="仿宋_GB2312" w:cs="Times New Roman"/>
          <w:sz w:val="32"/>
          <w:szCs w:val="32"/>
        </w:rPr>
        <w:t>大力推行公建民营、民办公助、政府购买服务、特许经营等方式，鼓励开展连锁化经营。</w:t>
      </w:r>
      <w:r>
        <w:rPr>
          <w:rFonts w:hint="eastAsia" w:ascii="仿宋_GB2312" w:hAnsi="宋体" w:eastAsia="仿宋_GB2312" w:cs="宋体"/>
          <w:color w:val="000000"/>
          <w:kern w:val="0"/>
          <w:sz w:val="32"/>
          <w:szCs w:val="32"/>
        </w:rPr>
        <w:t>培育康养服务新业态，</w:t>
      </w:r>
      <w:r>
        <w:rPr>
          <w:rFonts w:hint="eastAsia" w:ascii="仿宋_GB2312" w:hAnsi="Times New Roman" w:eastAsia="仿宋_GB2312" w:cs="Times New Roman"/>
          <w:sz w:val="32"/>
          <w:szCs w:val="32"/>
        </w:rPr>
        <w:t>鼓励发展医健、医旅、医体等结合型服务，</w:t>
      </w:r>
      <w:r>
        <w:rPr>
          <w:rFonts w:hint="eastAsia" w:ascii="仿宋_GB2312" w:hAnsi="宋体" w:eastAsia="仿宋_GB2312" w:cs="宋体"/>
          <w:color w:val="000000"/>
          <w:kern w:val="0"/>
          <w:sz w:val="32"/>
          <w:szCs w:val="32"/>
        </w:rPr>
        <w:t>构建健康教育、预防保健、疾病诊治、康复护理、长期照护、</w:t>
      </w:r>
      <w:r>
        <w:rPr>
          <w:rFonts w:hint="eastAsia" w:ascii="仿宋_GB2312" w:hAnsi="Times New Roman" w:eastAsia="仿宋_GB2312" w:cs="Times New Roman"/>
          <w:sz w:val="32"/>
          <w:szCs w:val="32"/>
        </w:rPr>
        <w:t>临终关怀</w:t>
      </w:r>
      <w:r>
        <w:rPr>
          <w:rFonts w:hint="eastAsia" w:ascii="仿宋_GB2312" w:hAnsi="宋体" w:eastAsia="仿宋_GB2312" w:cs="宋体"/>
          <w:color w:val="000000"/>
          <w:kern w:val="0"/>
          <w:sz w:val="32"/>
          <w:szCs w:val="32"/>
        </w:rPr>
        <w:t>等覆盖城乡、综合连续的健康服务体系。</w:t>
      </w:r>
      <w:r>
        <w:rPr>
          <w:rFonts w:hint="eastAsia" w:ascii="仿宋_GB2312" w:hAnsi="Times New Roman" w:eastAsia="仿宋_GB2312" w:cs="Times New Roman"/>
          <w:sz w:val="32"/>
          <w:szCs w:val="32"/>
        </w:rPr>
        <w:t>鼓励社会力量建设康养服务机构，</w:t>
      </w:r>
      <w:r>
        <w:rPr>
          <w:rFonts w:hint="eastAsia" w:ascii="仿宋_GB2312" w:hAnsi="宋体" w:eastAsia="仿宋_GB2312" w:cs="宋体"/>
          <w:color w:val="000000"/>
          <w:kern w:val="0"/>
          <w:sz w:val="32"/>
          <w:szCs w:val="32"/>
        </w:rPr>
        <w:t>开展一批康养联合体试点，</w:t>
      </w:r>
      <w:r>
        <w:rPr>
          <w:rFonts w:hint="eastAsia" w:ascii="仿宋_GB2312" w:hAnsi="Times New Roman" w:eastAsia="仿宋_GB2312" w:cs="Times New Roman"/>
          <w:sz w:val="32"/>
          <w:szCs w:val="32"/>
        </w:rPr>
        <w:t>建设一批</w:t>
      </w:r>
      <w:r>
        <w:rPr>
          <w:rFonts w:hint="eastAsia" w:ascii="仿宋_GB2312" w:hAnsi="宋体" w:eastAsia="仿宋_GB2312" w:cs="宋体"/>
          <w:color w:val="000000"/>
          <w:kern w:val="0"/>
          <w:sz w:val="32"/>
          <w:szCs w:val="32"/>
        </w:rPr>
        <w:t>康养产业园、康复辅具租售平台，</w:t>
      </w:r>
      <w:r>
        <w:rPr>
          <w:rFonts w:hint="eastAsia" w:ascii="仿宋_GB2312" w:hAnsi="Times New Roman" w:eastAsia="仿宋_GB2312" w:cs="Times New Roman"/>
          <w:sz w:val="32"/>
          <w:szCs w:val="32"/>
        </w:rPr>
        <w:t>打造一批中医药特色医养结合示范基地，实施黄岩红豆杉颐养苑养老院、路桥区台地养生园等一批项目，</w:t>
      </w:r>
      <w:r>
        <w:rPr>
          <w:rFonts w:hint="eastAsia" w:ascii="仿宋_GB2312" w:hAnsi="宋体" w:eastAsia="仿宋_GB2312" w:cs="宋体"/>
          <w:color w:val="000000"/>
          <w:kern w:val="0"/>
          <w:sz w:val="32"/>
          <w:szCs w:val="32"/>
        </w:rPr>
        <w:t>增加优质康养服务供给。加强标准协同互认、人才培训、旅居养老、康养基地建设等方面的合作。</w:t>
      </w:r>
      <w:r>
        <w:rPr>
          <w:rFonts w:hint="eastAsia" w:ascii="仿宋_GB2312" w:hAnsi="Times New Roman" w:eastAsia="仿宋_GB2312" w:cs="Times New Roman"/>
          <w:sz w:val="32"/>
          <w:szCs w:val="32"/>
        </w:rPr>
        <w:t>加快人口健康信息平台建设，推进健康大数据中心建设，大力发展健康筛选咨询、慢性病风险评估和干预、末病管理与治疗等健康管理服务。</w:t>
      </w:r>
    </w:p>
    <w:p>
      <w:pPr>
        <w:ind w:firstLine="643" w:firstLineChars="200"/>
        <w:outlineLvl w:val="2"/>
        <w:rPr>
          <w:rFonts w:ascii="仿宋_GB2312" w:hAnsi="Times New Roman" w:eastAsia="仿宋_GB2312" w:cs="Times New Roman"/>
          <w:b/>
          <w:sz w:val="32"/>
          <w:szCs w:val="32"/>
        </w:rPr>
      </w:pPr>
      <w:bookmarkStart w:id="58" w:name="_Toc68980546"/>
      <w:bookmarkStart w:id="59" w:name="_Toc69259740"/>
      <w:r>
        <w:rPr>
          <w:rFonts w:hint="eastAsia" w:ascii="仿宋_GB2312" w:hAnsi="Times New Roman" w:eastAsia="仿宋_GB2312" w:cs="Times New Roman"/>
          <w:b/>
          <w:sz w:val="32"/>
          <w:szCs w:val="32"/>
        </w:rPr>
        <w:t>4、培育发展文体产业</w:t>
      </w:r>
      <w:bookmarkEnd w:id="58"/>
      <w:bookmarkEnd w:id="59"/>
    </w:p>
    <w:p>
      <w:pPr>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构建文化产业体系。</w:t>
      </w:r>
      <w:r>
        <w:rPr>
          <w:rFonts w:hint="eastAsia" w:ascii="仿宋_GB2312" w:hAnsi="Times New Roman" w:eastAsia="仿宋_GB2312" w:cs="Times New Roman"/>
          <w:bCs/>
          <w:color w:val="000000" w:themeColor="text1"/>
          <w:sz w:val="32"/>
          <w:szCs w:val="32"/>
          <w14:textFill>
            <w14:solidFill>
              <w14:schemeClr w14:val="tx1"/>
            </w14:solidFill>
          </w14:textFill>
        </w:rPr>
        <w:t>加大优秀传统文化保护传承和转化利用，</w:t>
      </w:r>
      <w:r>
        <w:rPr>
          <w:rFonts w:ascii="Times New Roman" w:hAnsi="Times New Roman" w:eastAsia="仿宋_GB2312" w:cs="Times New Roman"/>
          <w:sz w:val="32"/>
          <w:szCs w:val="32"/>
        </w:rPr>
        <w:t>加快推进</w:t>
      </w:r>
      <w:r>
        <w:rPr>
          <w:rFonts w:ascii="仿宋_GB2312" w:hAnsi="Times New Roman" w:eastAsia="仿宋_GB2312" w:cs="Times New Roman"/>
          <w:bCs/>
          <w:color w:val="000000" w:themeColor="text1"/>
          <w:sz w:val="32"/>
          <w:szCs w:val="32"/>
          <w14:textFill>
            <w14:solidFill>
              <w14:schemeClr w14:val="tx1"/>
            </w14:solidFill>
          </w14:textFill>
        </w:rPr>
        <w:t>天台山佛宗道源、唐诗之路</w:t>
      </w:r>
      <w:r>
        <w:rPr>
          <w:rFonts w:hint="eastAsia" w:ascii="仿宋_GB2312" w:hAnsi="Times New Roman" w:eastAsia="仿宋_GB2312" w:cs="Times New Roman"/>
          <w:bCs/>
          <w:color w:val="000000" w:themeColor="text1"/>
          <w:sz w:val="32"/>
          <w:szCs w:val="32"/>
          <w14:textFill>
            <w14:solidFill>
              <w14:schemeClr w14:val="tx1"/>
            </w14:solidFill>
          </w14:textFill>
        </w:rPr>
        <w:t>、大陈岛等文化资源</w:t>
      </w:r>
      <w:r>
        <w:rPr>
          <w:rFonts w:ascii="Times New Roman" w:hAnsi="Times New Roman" w:eastAsia="仿宋_GB2312" w:cs="Times New Roman"/>
          <w:sz w:val="32"/>
          <w:szCs w:val="32"/>
        </w:rPr>
        <w:t>的创造性转化和创新性发展，着力打造以休闲文化旅游、创意设计服务、时尚文化制造、历史经典产业、影视传媒服务等五大领域为重点的现代文化产业体系</w:t>
      </w:r>
      <w:r>
        <w:rPr>
          <w:rFonts w:hint="eastAsia" w:ascii="Times New Roman" w:hAnsi="Times New Roman" w:eastAsia="仿宋_GB2312" w:cs="Times New Roman"/>
          <w:sz w:val="32"/>
          <w:szCs w:val="32"/>
        </w:rPr>
        <w:t>。</w:t>
      </w:r>
      <w:r>
        <w:rPr>
          <w:rFonts w:hint="eastAsia" w:ascii="仿宋_GB2312" w:hAnsi="Times New Roman" w:eastAsia="仿宋_GB2312" w:cs="Times New Roman"/>
          <w:bCs/>
          <w:color w:val="000000" w:themeColor="text1"/>
          <w:sz w:val="32"/>
          <w:szCs w:val="32"/>
          <w14:textFill>
            <w14:solidFill>
              <w14:schemeClr w14:val="tx1"/>
            </w14:solidFill>
          </w14:textFill>
        </w:rPr>
        <w:t>开发更多适合城乡居民需求的高品质文化产品和服务，打造一批原创</w:t>
      </w:r>
      <w:r>
        <w:rPr>
          <w:rFonts w:ascii="仿宋_GB2312" w:hAnsi="Times New Roman" w:eastAsia="仿宋_GB2312" w:cs="Times New Roman"/>
          <w:bCs/>
          <w:color w:val="000000" w:themeColor="text1"/>
          <w:sz w:val="32"/>
          <w:szCs w:val="32"/>
          <w14:textFill>
            <w14:solidFill>
              <w14:schemeClr w14:val="tx1"/>
            </w14:solidFill>
          </w14:textFill>
        </w:rPr>
        <w:t>IP</w:t>
      </w:r>
      <w:r>
        <w:rPr>
          <w:rFonts w:hint="eastAsia" w:ascii="仿宋_GB2312" w:hAnsi="Times New Roman" w:eastAsia="仿宋_GB2312" w:cs="Times New Roman"/>
          <w:bCs/>
          <w:color w:val="000000" w:themeColor="text1"/>
          <w:sz w:val="32"/>
          <w:szCs w:val="32"/>
          <w14:textFill>
            <w14:solidFill>
              <w14:schemeClr w14:val="tx1"/>
            </w14:solidFill>
          </w14:textFill>
        </w:rPr>
        <w:t>，</w:t>
      </w:r>
      <w:r>
        <w:rPr>
          <w:rFonts w:ascii="仿宋_GB2312" w:hAnsi="Times New Roman" w:eastAsia="仿宋_GB2312" w:cs="Times New Roman"/>
          <w:bCs/>
          <w:color w:val="000000" w:themeColor="text1"/>
          <w:sz w:val="32"/>
          <w:szCs w:val="32"/>
          <w14:textFill>
            <w14:solidFill>
              <w14:schemeClr w14:val="tx1"/>
            </w14:solidFill>
          </w14:textFill>
        </w:rPr>
        <w:t>扶持</w:t>
      </w:r>
      <w:r>
        <w:rPr>
          <w:rFonts w:hint="eastAsia" w:ascii="仿宋_GB2312" w:hAnsi="Times New Roman" w:eastAsia="仿宋_GB2312" w:cs="Times New Roman"/>
          <w:bCs/>
          <w:color w:val="000000" w:themeColor="text1"/>
          <w:sz w:val="32"/>
          <w:szCs w:val="32"/>
          <w14:textFill>
            <w14:solidFill>
              <w14:schemeClr w14:val="tx1"/>
            </w14:solidFill>
          </w14:textFill>
        </w:rPr>
        <w:t>一批</w:t>
      </w:r>
      <w:r>
        <w:rPr>
          <w:rFonts w:ascii="仿宋_GB2312" w:hAnsi="Times New Roman" w:eastAsia="仿宋_GB2312" w:cs="Times New Roman"/>
          <w:bCs/>
          <w:color w:val="000000" w:themeColor="text1"/>
          <w:sz w:val="32"/>
          <w:szCs w:val="32"/>
          <w14:textFill>
            <w14:solidFill>
              <w14:schemeClr w14:val="tx1"/>
            </w14:solidFill>
          </w14:textFill>
        </w:rPr>
        <w:t>主题文艺精品创作，</w:t>
      </w:r>
      <w:r>
        <w:rPr>
          <w:rFonts w:hint="eastAsia" w:ascii="仿宋_GB2312" w:hAnsi="Times New Roman" w:eastAsia="仿宋_GB2312" w:cs="Times New Roman"/>
          <w:bCs/>
          <w:color w:val="000000" w:themeColor="text1"/>
          <w:sz w:val="32"/>
          <w:szCs w:val="32"/>
          <w14:textFill>
            <w14:solidFill>
              <w14:schemeClr w14:val="tx1"/>
            </w14:solidFill>
          </w14:textFill>
        </w:rPr>
        <w:t>开发一批传统文化消费产品，完善常态化文化消费促进机制。</w:t>
      </w:r>
      <w:r>
        <w:rPr>
          <w:rFonts w:hint="eastAsia" w:ascii="仿宋_GB2312" w:hAnsi="Times New Roman" w:eastAsia="仿宋_GB2312" w:cs="Times New Roman"/>
          <w:sz w:val="32"/>
          <w:szCs w:val="32"/>
        </w:rPr>
        <w:t>推进“文化融”大发展，加快文化与工业、农业、科技、互联网、旅游、消费等深度融合，</w:t>
      </w:r>
      <w:r>
        <w:rPr>
          <w:rFonts w:ascii="仿宋_GB2312" w:hAnsi="Times New Roman" w:eastAsia="仿宋_GB2312" w:cs="Times New Roman"/>
          <w:bCs/>
          <w:color w:val="000000" w:themeColor="text1"/>
          <w:sz w:val="32"/>
          <w:szCs w:val="32"/>
          <w14:textFill>
            <w14:solidFill>
              <w14:schemeClr w14:val="tx1"/>
            </w14:solidFill>
          </w14:textFill>
        </w:rPr>
        <w:t>加快推进“文化融消费”，积极培育</w:t>
      </w:r>
      <w:r>
        <w:rPr>
          <w:rFonts w:hint="eastAsia" w:ascii="仿宋_GB2312" w:hAnsi="Times New Roman" w:eastAsia="仿宋_GB2312" w:cs="Times New Roman"/>
          <w:bCs/>
          <w:color w:val="000000" w:themeColor="text1"/>
          <w:sz w:val="32"/>
          <w:szCs w:val="32"/>
          <w14:textFill>
            <w14:solidFill>
              <w14:schemeClr w14:val="tx1"/>
            </w14:solidFill>
          </w14:textFill>
        </w:rPr>
        <w:t>一批</w:t>
      </w:r>
      <w:r>
        <w:rPr>
          <w:rFonts w:ascii="仿宋_GB2312" w:hAnsi="Times New Roman" w:eastAsia="仿宋_GB2312" w:cs="Times New Roman"/>
          <w:bCs/>
          <w:color w:val="000000" w:themeColor="text1"/>
          <w:sz w:val="32"/>
          <w:szCs w:val="32"/>
          <w14:textFill>
            <w14:solidFill>
              <w14:schemeClr w14:val="tx1"/>
            </w14:solidFill>
          </w14:textFill>
        </w:rPr>
        <w:t>特色文化街区、夜间经济集聚区和文化消费平台</w:t>
      </w:r>
      <w:r>
        <w:rPr>
          <w:rFonts w:hint="eastAsia" w:ascii="仿宋_GB2312" w:hAnsi="Times New Roman" w:eastAsia="仿宋_GB2312" w:cs="Times New Roman"/>
          <w:bCs/>
          <w:color w:val="000000" w:themeColor="text1"/>
          <w:sz w:val="32"/>
          <w:szCs w:val="32"/>
          <w14:textFill>
            <w14:solidFill>
              <w14:schemeClr w14:val="tx1"/>
            </w14:solidFill>
          </w14:textFill>
        </w:rPr>
        <w:t>。</w:t>
      </w:r>
    </w:p>
    <w:tbl>
      <w:tblPr>
        <w:tblStyle w:val="16"/>
        <w:tblW w:w="0" w:type="auto"/>
        <w:tblInd w:w="0" w:type="dxa"/>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shd w:val="clear" w:color="auto" w:fill="92CDDC" w:themeFill="accent5" w:themeFillTint="99"/>
          </w:tcPr>
          <w:p>
            <w:pPr>
              <w:rPr>
                <w:rFonts w:ascii="仿宋_GB2312" w:hAnsi="Times New Roman" w:eastAsia="仿宋_GB2312" w:cs="Times New Roman"/>
                <w:b/>
                <w:bCs/>
                <w:color w:val="000000" w:themeColor="text1"/>
                <w:sz w:val="28"/>
                <w:szCs w:val="28"/>
                <w14:textFill>
                  <w14:solidFill>
                    <w14:schemeClr w14:val="tx1"/>
                  </w14:solidFill>
                </w14:textFill>
              </w:rPr>
            </w:pPr>
            <w:r>
              <w:rPr>
                <w:rFonts w:hint="eastAsia" w:ascii="仿宋_GB2312" w:hAnsi="Times New Roman" w:eastAsia="仿宋_GB2312" w:cs="Times New Roman"/>
                <w:b/>
                <w:color w:val="000000"/>
                <w:sz w:val="28"/>
                <w:szCs w:val="28"/>
              </w:rPr>
              <w:t>专栏14  文化产业发展重点工程</w:t>
            </w: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tcPr>
          <w:p>
            <w:pPr>
              <w:adjustRightInd w:val="0"/>
              <w:snapToGrid w:val="0"/>
              <w:spacing w:line="4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1.文化数智创新工程。</w:t>
            </w:r>
            <w:r>
              <w:rPr>
                <w:rFonts w:ascii="Times New Roman" w:hAnsi="Times New Roman" w:eastAsia="仿宋_GB2312" w:cs="Times New Roman"/>
                <w:sz w:val="24"/>
                <w:szCs w:val="24"/>
              </w:rPr>
              <w:t>突出数字引领、撬动、赋能作用，不断创新文化产业业态，培育打造以数字技术、数字内容为核心的新型文化产业，让文化和科技在融合中催生新业态、延伸产业链、集聚创新人才。重点推进台州直播城、数字经济产业园（京东云）等项目建设，实现从“移动电商”到“互动电商”的跨越，加速网红经济+新零售产业的发展。结合数字技术，探索开发更多的沉浸式互动体验旅游产品或旅游景点，让游客获得全方位的旅游体验。</w:t>
            </w:r>
          </w:p>
          <w:p>
            <w:pPr>
              <w:adjustRightInd w:val="0"/>
              <w:snapToGrid w:val="0"/>
              <w:spacing w:line="4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2.传统文化擦亮工程。</w:t>
            </w:r>
            <w:r>
              <w:rPr>
                <w:rFonts w:ascii="Times New Roman" w:hAnsi="Times New Roman" w:eastAsia="仿宋_GB2312" w:cs="Times New Roman"/>
                <w:sz w:val="24"/>
                <w:szCs w:val="24"/>
              </w:rPr>
              <w:t>持续擦亮“和合圣地”“浙东唐诗之路目的地”等金名片，推动优秀传统文化创造性转化、创新性发展。推进和合小镇建设，以和合论坛为中心，布局和合乐园、非遗文创街、论坛配套酒店等文旅产业项目。重点围绕首批十大省级及十大市级诗路“珍珠”，推进天台山景区改造提升、台州府城创5A级景区、神仙居景区扩容提质等35个诗路标志性项目建设。</w:t>
            </w:r>
          </w:p>
          <w:p>
            <w:pPr>
              <w:adjustRightInd w:val="0"/>
              <w:snapToGrid w:val="0"/>
              <w:spacing w:line="4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3.创意设计赋能工程。</w:t>
            </w:r>
            <w:r>
              <w:rPr>
                <w:rFonts w:ascii="Times New Roman" w:hAnsi="Times New Roman" w:eastAsia="仿宋_GB2312" w:cs="Times New Roman"/>
                <w:sz w:val="24"/>
                <w:szCs w:val="24"/>
              </w:rPr>
              <w:t>做大做强台州工业产品设计与制造，通过创意设计提升台州制造业的文化附加值。充分发挥工业设计的引领作用，大力发展外包装设计、小商品设计、工艺美术设计、雕塑设计及展览设计、旅游商品研发设计等，提升创意设计能力和水平，全方位打造“工业设计中心”。</w:t>
            </w:r>
          </w:p>
          <w:p>
            <w:pPr>
              <w:pStyle w:val="14"/>
              <w:widowControl w:val="0"/>
              <w:snapToGrid w:val="0"/>
              <w:spacing w:before="0" w:beforeAutospacing="0" w:after="0" w:afterAutospacing="0" w:line="400" w:lineRule="exact"/>
              <w:ind w:firstLine="482" w:firstLineChars="200"/>
              <w:jc w:val="both"/>
              <w:rPr>
                <w:rFonts w:ascii="Times New Roman" w:hAnsi="Times New Roman" w:cs="Times New Roman"/>
                <w:bCs/>
              </w:rPr>
            </w:pPr>
            <w:r>
              <w:rPr>
                <w:rFonts w:ascii="Times New Roman" w:hAnsi="Times New Roman" w:eastAsia="仿宋_GB2312" w:cs="Times New Roman"/>
                <w:b/>
              </w:rPr>
              <w:t>4.文化消费激发工程。</w:t>
            </w:r>
            <w:r>
              <w:rPr>
                <w:rFonts w:ascii="Times New Roman" w:hAnsi="Times New Roman" w:eastAsia="仿宋_GB2312" w:cs="Times New Roman"/>
              </w:rPr>
              <w:t>针对不同文化消费群体，加快发展大众性文化消费，开发中高端文化消费，培育特色文化消费，形成多层次的文化消费平台。重点推进台州大剧院、美术馆等项目筹划建设。加强文化消费引导，通过政府购买、免费提供文化服务等方式，满足群众文化消费需求。</w:t>
            </w:r>
          </w:p>
        </w:tc>
      </w:tr>
    </w:tbl>
    <w:p>
      <w:pPr>
        <w:ind w:firstLine="643" w:firstLineChars="200"/>
        <w:rPr>
          <w:rFonts w:ascii="Times New Roman" w:hAnsi="Times New Roman" w:eastAsia="仿宋_GB2312"/>
          <w:bCs/>
          <w:color w:val="000000" w:themeColor="text1"/>
          <w:sz w:val="32"/>
          <w:szCs w:val="32"/>
          <w14:textFill>
            <w14:solidFill>
              <w14:schemeClr w14:val="tx1"/>
            </w14:solidFill>
          </w14:textFill>
        </w:rPr>
      </w:pPr>
      <w:r>
        <w:rPr>
          <w:rFonts w:hint="eastAsia" w:ascii="仿宋_GB2312" w:hAnsi="Times New Roman" w:eastAsia="仿宋_GB2312" w:cs="Times New Roman"/>
          <w:b/>
          <w:sz w:val="32"/>
          <w:szCs w:val="32"/>
        </w:rPr>
        <w:t>积极发展体育产业。</w:t>
      </w:r>
      <w:r>
        <w:rPr>
          <w:rFonts w:hint="eastAsia" w:ascii="Times New Roman" w:hAnsi="Times New Roman" w:eastAsia="仿宋_GB2312"/>
          <w:bCs/>
          <w:color w:val="000000" w:themeColor="text1"/>
          <w:sz w:val="32"/>
          <w:szCs w:val="32"/>
          <w14:textFill>
            <w14:solidFill>
              <w14:schemeClr w14:val="tx1"/>
            </w14:solidFill>
          </w14:textFill>
        </w:rPr>
        <w:t>全面落实体育产业促消费工作举措，深入实施“一二三四五”工程，努力提高体育产业的规模和质量。做优做强体育竞赛表演、体育健身休闲、体育项目培训等为重点的体育产，全面创新体育产业业态，大力发展</w:t>
      </w:r>
      <w:r>
        <w:rPr>
          <w:rFonts w:ascii="Times New Roman" w:hAnsi="Times New Roman" w:eastAsia="仿宋_GB2312"/>
          <w:bCs/>
          <w:color w:val="000000" w:themeColor="text1"/>
          <w:sz w:val="32"/>
          <w:szCs w:val="32"/>
          <w14:textFill>
            <w14:solidFill>
              <w14:schemeClr w14:val="tx1"/>
            </w14:solidFill>
          </w14:textFill>
        </w:rPr>
        <w:t>“</w:t>
      </w:r>
      <w:r>
        <w:rPr>
          <w:rFonts w:hint="eastAsia" w:ascii="Times New Roman" w:hAnsi="Times New Roman" w:eastAsia="仿宋_GB2312"/>
          <w:bCs/>
          <w:color w:val="000000" w:themeColor="text1"/>
          <w:sz w:val="32"/>
          <w:szCs w:val="32"/>
          <w14:textFill>
            <w14:solidFill>
              <w14:schemeClr w14:val="tx1"/>
            </w14:solidFill>
          </w14:textFill>
        </w:rPr>
        <w:t>体育</w:t>
      </w:r>
      <w:r>
        <w:rPr>
          <w:rFonts w:ascii="Times New Roman" w:hAnsi="Times New Roman" w:eastAsia="仿宋_GB2312"/>
          <w:bCs/>
          <w:color w:val="000000" w:themeColor="text1"/>
          <w:sz w:val="32"/>
          <w:szCs w:val="32"/>
          <w14:textFill>
            <w14:solidFill>
              <w14:schemeClr w14:val="tx1"/>
            </w14:solidFill>
          </w14:textFill>
        </w:rPr>
        <w:t>+</w:t>
      </w:r>
      <w:r>
        <w:rPr>
          <w:rFonts w:hint="eastAsia" w:ascii="Times New Roman" w:hAnsi="Times New Roman" w:eastAsia="仿宋_GB2312"/>
          <w:bCs/>
          <w:color w:val="000000" w:themeColor="text1"/>
          <w:sz w:val="32"/>
          <w:szCs w:val="32"/>
          <w14:textFill>
            <w14:solidFill>
              <w14:schemeClr w14:val="tx1"/>
            </w14:solidFill>
          </w14:textFill>
        </w:rPr>
        <w:t>互联网</w:t>
      </w:r>
      <w:r>
        <w:rPr>
          <w:rFonts w:ascii="Times New Roman" w:hAnsi="Times New Roman" w:eastAsia="仿宋_GB2312"/>
          <w:bCs/>
          <w:color w:val="000000" w:themeColor="text1"/>
          <w:sz w:val="32"/>
          <w:szCs w:val="32"/>
          <w14:textFill>
            <w14:solidFill>
              <w14:schemeClr w14:val="tx1"/>
            </w14:solidFill>
          </w14:textFill>
        </w:rPr>
        <w:t>”“</w:t>
      </w:r>
      <w:r>
        <w:rPr>
          <w:rFonts w:hint="eastAsia" w:ascii="Times New Roman" w:hAnsi="Times New Roman" w:eastAsia="仿宋_GB2312"/>
          <w:bCs/>
          <w:color w:val="000000" w:themeColor="text1"/>
          <w:sz w:val="32"/>
          <w:szCs w:val="32"/>
          <w14:textFill>
            <w14:solidFill>
              <w14:schemeClr w14:val="tx1"/>
            </w14:solidFill>
          </w14:textFill>
        </w:rPr>
        <w:t>智慧场馆</w:t>
      </w:r>
      <w:r>
        <w:rPr>
          <w:rFonts w:ascii="Times New Roman" w:hAnsi="Times New Roman" w:eastAsia="仿宋_GB2312"/>
          <w:bCs/>
          <w:color w:val="000000" w:themeColor="text1"/>
          <w:sz w:val="32"/>
          <w:szCs w:val="32"/>
          <w14:textFill>
            <w14:solidFill>
              <w14:schemeClr w14:val="tx1"/>
            </w14:solidFill>
          </w14:textFill>
        </w:rPr>
        <w:t>”“</w:t>
      </w:r>
      <w:r>
        <w:rPr>
          <w:rFonts w:hint="eastAsia" w:ascii="Times New Roman" w:hAnsi="Times New Roman" w:eastAsia="仿宋_GB2312"/>
          <w:bCs/>
          <w:color w:val="000000" w:themeColor="text1"/>
          <w:sz w:val="32"/>
          <w:szCs w:val="32"/>
          <w14:textFill>
            <w14:solidFill>
              <w14:schemeClr w14:val="tx1"/>
            </w14:solidFill>
          </w14:textFill>
        </w:rPr>
        <w:t>线上赛事</w:t>
      </w:r>
      <w:r>
        <w:rPr>
          <w:rFonts w:ascii="Times New Roman" w:hAnsi="Times New Roman" w:eastAsia="仿宋_GB2312"/>
          <w:bCs/>
          <w:color w:val="000000" w:themeColor="text1"/>
          <w:sz w:val="32"/>
          <w:szCs w:val="32"/>
          <w14:textFill>
            <w14:solidFill>
              <w14:schemeClr w14:val="tx1"/>
            </w14:solidFill>
          </w14:textFill>
        </w:rPr>
        <w:t>”“</w:t>
      </w:r>
      <w:r>
        <w:rPr>
          <w:rFonts w:hint="eastAsia" w:ascii="Times New Roman" w:hAnsi="Times New Roman" w:eastAsia="仿宋_GB2312"/>
          <w:bCs/>
          <w:color w:val="000000" w:themeColor="text1"/>
          <w:sz w:val="32"/>
          <w:szCs w:val="32"/>
          <w14:textFill>
            <w14:solidFill>
              <w14:schemeClr w14:val="tx1"/>
            </w14:solidFill>
          </w14:textFill>
        </w:rPr>
        <w:t>云培训</w:t>
      </w:r>
      <w:r>
        <w:rPr>
          <w:rFonts w:ascii="Times New Roman" w:hAnsi="Times New Roman" w:eastAsia="仿宋_GB2312"/>
          <w:bCs/>
          <w:color w:val="000000" w:themeColor="text1"/>
          <w:sz w:val="32"/>
          <w:szCs w:val="32"/>
          <w14:textFill>
            <w14:solidFill>
              <w14:schemeClr w14:val="tx1"/>
            </w14:solidFill>
          </w14:textFill>
        </w:rPr>
        <w:t>”</w:t>
      </w:r>
      <w:r>
        <w:rPr>
          <w:rFonts w:hint="eastAsia" w:ascii="Times New Roman" w:hAnsi="Times New Roman" w:eastAsia="仿宋_GB2312"/>
          <w:bCs/>
          <w:color w:val="000000" w:themeColor="text1"/>
          <w:sz w:val="32"/>
          <w:szCs w:val="32"/>
          <w14:textFill>
            <w14:solidFill>
              <w14:schemeClr w14:val="tx1"/>
            </w14:solidFill>
          </w14:textFill>
        </w:rPr>
        <w:t>，促进体育产业数字化转型，实现</w:t>
      </w:r>
      <w:r>
        <w:rPr>
          <w:rFonts w:ascii="Times New Roman" w:hAnsi="Times New Roman" w:eastAsia="仿宋_GB2312"/>
          <w:bCs/>
          <w:color w:val="000000" w:themeColor="text1"/>
          <w:sz w:val="32"/>
          <w:szCs w:val="32"/>
          <w14:textFill>
            <w14:solidFill>
              <w14:schemeClr w14:val="tx1"/>
            </w14:solidFill>
          </w14:textFill>
        </w:rPr>
        <w:t xml:space="preserve"> “</w:t>
      </w:r>
      <w:r>
        <w:rPr>
          <w:rFonts w:hint="eastAsia" w:ascii="Times New Roman" w:hAnsi="Times New Roman" w:eastAsia="仿宋_GB2312"/>
          <w:bCs/>
          <w:color w:val="000000" w:themeColor="text1"/>
          <w:sz w:val="32"/>
          <w:szCs w:val="32"/>
          <w14:textFill>
            <w14:solidFill>
              <w14:schemeClr w14:val="tx1"/>
            </w14:solidFill>
          </w14:textFill>
        </w:rPr>
        <w:t>菜单式</w:t>
      </w:r>
      <w:r>
        <w:rPr>
          <w:rFonts w:ascii="Times New Roman" w:hAnsi="Times New Roman" w:eastAsia="仿宋_GB2312"/>
          <w:bCs/>
          <w:color w:val="000000" w:themeColor="text1"/>
          <w:sz w:val="32"/>
          <w:szCs w:val="32"/>
          <w14:textFill>
            <w14:solidFill>
              <w14:schemeClr w14:val="tx1"/>
            </w14:solidFill>
          </w14:textFill>
        </w:rPr>
        <w:t>”</w:t>
      </w:r>
      <w:r>
        <w:rPr>
          <w:rFonts w:hint="eastAsia" w:ascii="Times New Roman" w:hAnsi="Times New Roman" w:eastAsia="仿宋_GB2312"/>
          <w:bCs/>
          <w:color w:val="000000" w:themeColor="text1"/>
          <w:sz w:val="32"/>
          <w:szCs w:val="32"/>
          <w14:textFill>
            <w14:solidFill>
              <w14:schemeClr w14:val="tx1"/>
            </w14:solidFill>
          </w14:textFill>
        </w:rPr>
        <w:t>体育公共服务供给。加快建设台州运动休闲城市，建设一批体育公园、体育服务综合体等体育产业发展平台，重点打造户外健身基地、中国帆船帆板训练基地、全国海钓基地等，立体化发展绿道马拉松、环湖自行车、体验式攀岩、低空飞行、健步、帆船、海钓等项目。</w:t>
      </w:r>
    </w:p>
    <w:p>
      <w:pPr>
        <w:widowControl/>
        <w:jc w:val="left"/>
        <w:rPr>
          <w:rFonts w:ascii="Times New Roman" w:hAnsi="Times New Roman" w:eastAsia="仿宋_GB2312"/>
          <w:bCs/>
          <w:color w:val="000000" w:themeColor="text1"/>
          <w:sz w:val="32"/>
          <w:szCs w:val="32"/>
          <w14:textFill>
            <w14:solidFill>
              <w14:schemeClr w14:val="tx1"/>
            </w14:solidFill>
          </w14:textFill>
        </w:rPr>
      </w:pPr>
      <w:r>
        <w:rPr>
          <w:rFonts w:hint="eastAsia" w:ascii="Times New Roman" w:hAnsi="Times New Roman" w:eastAsia="仿宋_GB2312"/>
          <w:bCs/>
          <w:color w:val="000000" w:themeColor="text1"/>
          <w:sz w:val="32"/>
          <w:szCs w:val="32"/>
          <w14:textFill>
            <w14:solidFill>
              <w14:schemeClr w14:val="tx1"/>
            </w14:solidFill>
          </w14:textFill>
        </w:rPr>
        <w:t>打造等，丰富节假日体育供给。</w:t>
      </w:r>
    </w:p>
    <w:tbl>
      <w:tblPr>
        <w:tblStyle w:val="16"/>
        <w:tblW w:w="0" w:type="auto"/>
        <w:tblInd w:w="0" w:type="dxa"/>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shd w:val="clear" w:color="auto" w:fill="92CDDC" w:themeFill="accent5" w:themeFillTint="99"/>
          </w:tcPr>
          <w:p>
            <w:pPr>
              <w:rPr>
                <w:rFonts w:ascii="仿宋_GB2312" w:hAnsi="Times New Roman" w:eastAsia="仿宋_GB2312" w:cs="Times New Roman"/>
                <w:b/>
                <w:bCs/>
                <w:color w:val="000000" w:themeColor="text1"/>
                <w:sz w:val="28"/>
                <w:szCs w:val="28"/>
                <w14:textFill>
                  <w14:solidFill>
                    <w14:schemeClr w14:val="tx1"/>
                  </w14:solidFill>
                </w14:textFill>
              </w:rPr>
            </w:pPr>
            <w:r>
              <w:rPr>
                <w:rFonts w:hint="eastAsia" w:ascii="仿宋_GB2312" w:hAnsi="Times New Roman" w:eastAsia="仿宋_GB2312" w:cs="Times New Roman"/>
                <w:b/>
                <w:color w:val="000000"/>
                <w:sz w:val="28"/>
                <w:szCs w:val="28"/>
              </w:rPr>
              <w:t>专栏15  体育产业“一二三四五”工程</w:t>
            </w: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tcPr>
          <w:p>
            <w:pPr>
              <w:spacing w:line="400" w:lineRule="exact"/>
              <w:ind w:firstLine="482" w:firstLineChars="200"/>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一核心：</w:t>
            </w:r>
            <w:r>
              <w:rPr>
                <w:rFonts w:hint="eastAsia" w:ascii="Times New Roman" w:hAnsi="Times New Roman" w:eastAsia="仿宋_GB2312" w:cs="Times New Roman"/>
                <w:sz w:val="24"/>
                <w:szCs w:val="24"/>
              </w:rPr>
              <w:t>以体育产业高质量发展为核心。“接轨大上海融入长三角”，优化特色产业布局，利用台州区位优势，自然人文禀赋践行绿色发展，推动数字技术赋能体育服务业、制造业升级。</w:t>
            </w:r>
            <w:r>
              <w:rPr>
                <w:rFonts w:ascii="Times New Roman" w:hAnsi="Times New Roman" w:eastAsia="仿宋_GB2312" w:cs="Times New Roman"/>
                <w:sz w:val="24"/>
                <w:szCs w:val="24"/>
              </w:rPr>
              <w:t xml:space="preserve"> </w:t>
            </w:r>
          </w:p>
          <w:p>
            <w:pPr>
              <w:spacing w:line="400" w:lineRule="exact"/>
              <w:ind w:firstLine="482" w:firstLineChars="200"/>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二链：</w:t>
            </w:r>
            <w:r>
              <w:rPr>
                <w:rFonts w:hint="eastAsia" w:ascii="Times New Roman" w:hAnsi="Times New Roman" w:eastAsia="仿宋_GB2312" w:cs="Times New Roman"/>
                <w:sz w:val="24"/>
                <w:szCs w:val="24"/>
              </w:rPr>
              <w:t>运动休闲旅游融合的竞赛表演、教育培训、健身休闲等的体育服务业高附加值产业链；优势高端体育制造业及新兴体育产业链。</w:t>
            </w:r>
          </w:p>
          <w:p>
            <w:pPr>
              <w:spacing w:line="400" w:lineRule="exact"/>
              <w:ind w:firstLine="482" w:firstLineChars="200"/>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三极：</w:t>
            </w:r>
            <w:r>
              <w:rPr>
                <w:rFonts w:hint="eastAsia" w:ascii="Times New Roman" w:hAnsi="Times New Roman" w:eastAsia="仿宋_GB2312" w:cs="Times New Roman"/>
                <w:sz w:val="24"/>
                <w:szCs w:val="24"/>
              </w:rPr>
              <w:t>依托中心市县辐射乡村街道，打造体育竞赛表演、城市（县）体育服务产业、数字体育产业增长极；依托山地户外自然禀赋，以神仙居景区、天台华顶森林公园、括苍山景区、江南大峡谷、温岭方山等为主打造生态运动、深度休闲增长极；依托甬台温临港产业带建设，打造温岭、玉环、临海滨海体育、海洋运动产业联动增长极。</w:t>
            </w:r>
          </w:p>
          <w:p>
            <w:pPr>
              <w:spacing w:line="400" w:lineRule="exact"/>
              <w:ind w:firstLine="482" w:firstLineChars="200"/>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四服务：</w:t>
            </w:r>
            <w:r>
              <w:rPr>
                <w:rFonts w:hint="eastAsia" w:ascii="Times New Roman" w:hAnsi="Times New Roman" w:eastAsia="仿宋_GB2312" w:cs="Times New Roman"/>
                <w:sz w:val="24"/>
                <w:szCs w:val="24"/>
              </w:rPr>
              <w:t>以二次城市化发展要求为准则，有序服务体育产业要素协同；以全面数字政务为契机，高效服务体育市场主体经营；以体育社会组织实体化为动力，精准服务体育细分行业发展；以区域体育产业平台建设为抓手，协同服务体育产业区域性名片建设。</w:t>
            </w:r>
          </w:p>
          <w:p>
            <w:pPr>
              <w:spacing w:line="400" w:lineRule="exact"/>
              <w:ind w:firstLine="482" w:firstLineChars="200"/>
              <w:rPr>
                <w:rFonts w:ascii="仿宋" w:hAnsi="仿宋" w:eastAsia="仿宋"/>
                <w:b/>
                <w:color w:val="000000"/>
                <w:sz w:val="32"/>
                <w:szCs w:val="32"/>
              </w:rPr>
            </w:pPr>
            <w:r>
              <w:rPr>
                <w:rFonts w:hint="eastAsia" w:ascii="Times New Roman" w:hAnsi="Times New Roman" w:eastAsia="仿宋_GB2312" w:cs="Times New Roman"/>
                <w:b/>
                <w:sz w:val="24"/>
                <w:szCs w:val="24"/>
              </w:rPr>
              <w:t>五提升：</w:t>
            </w:r>
            <w:r>
              <w:rPr>
                <w:rFonts w:hint="eastAsia" w:ascii="Times New Roman" w:hAnsi="Times New Roman" w:eastAsia="仿宋_GB2312" w:cs="Times New Roman"/>
                <w:sz w:val="24"/>
                <w:szCs w:val="24"/>
              </w:rPr>
              <w:t>全面提升体育系统数字化 “一件事”集成治理水平；全面提升体育产业政策落地实施的协同效能；全面提升体育事业与体育产业融合发展的质量；全面提升促进体育消费的能级和水平；全面提升政、社、企协同质量 。</w:t>
            </w:r>
          </w:p>
        </w:tc>
      </w:tr>
    </w:tbl>
    <w:p>
      <w:pPr>
        <w:spacing w:beforeLines="50"/>
        <w:ind w:firstLine="643" w:firstLineChars="200"/>
        <w:outlineLvl w:val="2"/>
        <w:rPr>
          <w:rFonts w:ascii="仿宋_GB2312" w:hAnsi="Times New Roman" w:eastAsia="仿宋_GB2312" w:cs="Times New Roman"/>
          <w:b/>
          <w:sz w:val="32"/>
          <w:szCs w:val="32"/>
        </w:rPr>
      </w:pPr>
      <w:bookmarkStart w:id="60" w:name="_Toc68980547"/>
      <w:bookmarkStart w:id="61" w:name="_Toc69259741"/>
      <w:r>
        <w:rPr>
          <w:rFonts w:hint="eastAsia" w:ascii="仿宋_GB2312" w:hAnsi="Times New Roman" w:eastAsia="仿宋_GB2312" w:cs="Times New Roman"/>
          <w:b/>
          <w:sz w:val="32"/>
          <w:szCs w:val="32"/>
        </w:rPr>
        <w:t>5、加快发展家政服务</w:t>
      </w:r>
      <w:bookmarkEnd w:id="60"/>
      <w:bookmarkEnd w:id="61"/>
    </w:p>
    <w:p>
      <w:pPr>
        <w:spacing w:line="600" w:lineRule="exact"/>
        <w:ind w:firstLine="640" w:firstLineChars="200"/>
        <w:rPr>
          <w:rFonts w:ascii="宋体" w:hAnsi="宋体" w:eastAsia="宋体" w:cs="宋体"/>
          <w:kern w:val="0"/>
          <w:sz w:val="24"/>
          <w:szCs w:val="24"/>
        </w:rPr>
      </w:pPr>
      <w:bookmarkStart w:id="62" w:name="_Toc68980548"/>
      <w:r>
        <w:rPr>
          <w:rFonts w:hint="eastAsia" w:ascii="Times New Roman" w:hAnsi="Times New Roman" w:eastAsia="仿宋_GB2312"/>
          <w:bCs/>
          <w:color w:val="000000" w:themeColor="text1"/>
          <w:sz w:val="32"/>
          <w:szCs w:val="32"/>
          <w14:textFill>
            <w14:solidFill>
              <w14:schemeClr w14:val="tx1"/>
            </w14:solidFill>
          </w14:textFill>
        </w:rPr>
        <w:t>完善家政服务体系，</w:t>
      </w:r>
      <w:r>
        <w:rPr>
          <w:rFonts w:ascii="Times New Roman" w:hAnsi="Times New Roman" w:eastAsia="仿宋_GB2312"/>
          <w:bCs/>
          <w:color w:val="000000" w:themeColor="text1"/>
          <w:sz w:val="32"/>
          <w:szCs w:val="32"/>
          <w14:textFill>
            <w14:solidFill>
              <w14:schemeClr w14:val="tx1"/>
            </w14:solidFill>
          </w14:textFill>
        </w:rPr>
        <w:t>大力发展家政服务、病患陪护、社区照料、家庭用品配送、婴幼儿照料等综合性基础</w:t>
      </w:r>
      <w:r>
        <w:rPr>
          <w:rFonts w:hint="eastAsia" w:ascii="Times New Roman" w:hAnsi="Times New Roman" w:eastAsia="仿宋_GB2312"/>
          <w:bCs/>
          <w:color w:val="000000" w:themeColor="text1"/>
          <w:sz w:val="32"/>
          <w:szCs w:val="32"/>
          <w14:textFill>
            <w14:solidFill>
              <w14:schemeClr w14:val="tx1"/>
            </w14:solidFill>
          </w14:textFill>
        </w:rPr>
        <w:t>家政</w:t>
      </w:r>
      <w:r>
        <w:rPr>
          <w:rFonts w:ascii="Times New Roman" w:hAnsi="Times New Roman" w:eastAsia="仿宋_GB2312"/>
          <w:bCs/>
          <w:color w:val="000000" w:themeColor="text1"/>
          <w:sz w:val="32"/>
          <w:szCs w:val="32"/>
          <w14:textFill>
            <w14:solidFill>
              <w14:schemeClr w14:val="tx1"/>
            </w14:solidFill>
          </w14:textFill>
        </w:rPr>
        <w:t>服务，积极培育家庭理财、家庭营养师、高级管家等高端</w:t>
      </w:r>
      <w:r>
        <w:rPr>
          <w:rFonts w:hint="eastAsia" w:ascii="Times New Roman" w:hAnsi="Times New Roman" w:eastAsia="仿宋_GB2312"/>
          <w:bCs/>
          <w:color w:val="000000" w:themeColor="text1"/>
          <w:sz w:val="32"/>
          <w:szCs w:val="32"/>
          <w14:textFill>
            <w14:solidFill>
              <w14:schemeClr w14:val="tx1"/>
            </w14:solidFill>
          </w14:textFill>
        </w:rPr>
        <w:t>家政</w:t>
      </w:r>
      <w:r>
        <w:rPr>
          <w:rFonts w:ascii="Times New Roman" w:hAnsi="Times New Roman" w:eastAsia="仿宋_GB2312"/>
          <w:bCs/>
          <w:color w:val="000000" w:themeColor="text1"/>
          <w:sz w:val="32"/>
          <w:szCs w:val="32"/>
          <w14:textFill>
            <w14:solidFill>
              <w14:schemeClr w14:val="tx1"/>
            </w14:solidFill>
          </w14:textFill>
        </w:rPr>
        <w:t>服务。创新家</w:t>
      </w:r>
      <w:r>
        <w:rPr>
          <w:rFonts w:hint="eastAsia" w:ascii="Times New Roman" w:hAnsi="Times New Roman" w:eastAsia="仿宋_GB2312"/>
          <w:bCs/>
          <w:color w:val="000000" w:themeColor="text1"/>
          <w:sz w:val="32"/>
          <w:szCs w:val="32"/>
          <w14:textFill>
            <w14:solidFill>
              <w14:schemeClr w14:val="tx1"/>
            </w14:solidFill>
          </w14:textFill>
        </w:rPr>
        <w:t>政</w:t>
      </w:r>
      <w:r>
        <w:rPr>
          <w:rFonts w:ascii="Times New Roman" w:hAnsi="Times New Roman" w:eastAsia="仿宋_GB2312"/>
          <w:bCs/>
          <w:color w:val="000000" w:themeColor="text1"/>
          <w:sz w:val="32"/>
          <w:szCs w:val="32"/>
          <w14:textFill>
            <w14:solidFill>
              <w14:schemeClr w14:val="tx1"/>
            </w14:solidFill>
          </w14:textFill>
        </w:rPr>
        <w:t>服务发展模式，支持社区服务拓展O2O、精细化定制、“微生活”、“云社区”等新兴服务模式</w:t>
      </w:r>
      <w:r>
        <w:rPr>
          <w:rFonts w:ascii="Times New Roman" w:hAnsi="Times New Roman" w:eastAsia="仿宋_GB2312"/>
          <w:color w:val="000000" w:themeColor="text1"/>
          <w:kern w:val="0"/>
          <w:sz w:val="32"/>
          <w:szCs w:val="32"/>
          <w14:textFill>
            <w14:solidFill>
              <w14:schemeClr w14:val="tx1"/>
            </w14:solidFill>
          </w14:textFill>
        </w:rPr>
        <w:t>。</w:t>
      </w:r>
      <w:r>
        <w:rPr>
          <w:rFonts w:ascii="Times New Roman" w:hAnsi="Times New Roman" w:eastAsia="仿宋_GB2312"/>
          <w:bCs/>
          <w:color w:val="000000" w:themeColor="text1"/>
          <w:sz w:val="32"/>
          <w:szCs w:val="32"/>
          <w14:textFill>
            <w14:solidFill>
              <w14:schemeClr w14:val="tx1"/>
            </w14:solidFill>
          </w14:textFill>
        </w:rPr>
        <w:t>依托浙江省家政“安心码”和“浙家政”平台，推进家政服务业数字化转型、品牌化发展、</w:t>
      </w:r>
      <w:r>
        <w:rPr>
          <w:rFonts w:hint="eastAsia" w:ascii="Times New Roman" w:hAnsi="Times New Roman" w:eastAsia="仿宋_GB2312"/>
          <w:bCs/>
          <w:color w:val="000000" w:themeColor="text1"/>
          <w:sz w:val="32"/>
          <w:szCs w:val="32"/>
          <w14:textFill>
            <w14:solidFill>
              <w14:schemeClr w14:val="tx1"/>
            </w14:solidFill>
          </w14:textFill>
        </w:rPr>
        <w:t>专业</w:t>
      </w:r>
      <w:r>
        <w:rPr>
          <w:rFonts w:ascii="Times New Roman" w:hAnsi="Times New Roman" w:eastAsia="仿宋_GB2312"/>
          <w:bCs/>
          <w:color w:val="000000" w:themeColor="text1"/>
          <w:sz w:val="32"/>
          <w:szCs w:val="32"/>
          <w14:textFill>
            <w14:solidFill>
              <w14:schemeClr w14:val="tx1"/>
            </w14:solidFill>
          </w14:textFill>
        </w:rPr>
        <w:t>化运作。</w:t>
      </w:r>
      <w:r>
        <w:rPr>
          <w:rFonts w:ascii="Times New Roman" w:hAnsi="Times New Roman" w:eastAsia="仿宋_GB2312"/>
          <w:color w:val="000000" w:themeColor="text1"/>
          <w:sz w:val="32"/>
          <w:szCs w:val="32"/>
          <w14:textFill>
            <w14:solidFill>
              <w14:schemeClr w14:val="tx1"/>
            </w14:solidFill>
          </w14:textFill>
        </w:rPr>
        <w:t>加大</w:t>
      </w:r>
      <w:r>
        <w:rPr>
          <w:rFonts w:hint="eastAsia" w:ascii="Times New Roman" w:hAnsi="Times New Roman" w:eastAsia="仿宋_GB2312"/>
          <w:color w:val="000000" w:themeColor="text1"/>
          <w:sz w:val="32"/>
          <w:szCs w:val="32"/>
          <w14:textFill>
            <w14:solidFill>
              <w14:schemeClr w14:val="tx1"/>
            </w14:solidFill>
          </w14:textFill>
        </w:rPr>
        <w:t>家政</w:t>
      </w:r>
      <w:r>
        <w:rPr>
          <w:rFonts w:ascii="Times New Roman" w:hAnsi="Times New Roman" w:eastAsia="仿宋_GB2312"/>
          <w:color w:val="000000" w:themeColor="text1"/>
          <w:sz w:val="32"/>
          <w:szCs w:val="32"/>
          <w14:textFill>
            <w14:solidFill>
              <w14:schemeClr w14:val="tx1"/>
            </w14:solidFill>
          </w14:textFill>
        </w:rPr>
        <w:t>服务企业培育力度，积极开展全国家政服务业提质扩容“领跑者”行动试点城市建设，支持家政企业连锁化、信息化、标准化项目建设</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仿宋_GB2312" w:hAnsi="宋体" w:eastAsia="仿宋_GB2312" w:cs="宋体"/>
          <w:color w:val="000000"/>
          <w:kern w:val="0"/>
          <w:sz w:val="32"/>
          <w:szCs w:val="32"/>
        </w:rPr>
        <w:t>培育一批家政服务品牌和龙头企业</w:t>
      </w:r>
      <w:r>
        <w:rPr>
          <w:rFonts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bCs/>
          <w:color w:val="000000" w:themeColor="text1"/>
          <w:sz w:val="32"/>
          <w:szCs w:val="32"/>
          <w14:textFill>
            <w14:solidFill>
              <w14:schemeClr w14:val="tx1"/>
            </w14:solidFill>
          </w14:textFill>
        </w:rPr>
        <w:t>实施家庭和社区服务从业人员定向培训工程，积极开展订单培训、定向培训，</w:t>
      </w:r>
      <w:r>
        <w:rPr>
          <w:rFonts w:hint="eastAsia" w:ascii="仿宋_GB2312" w:hAnsi="宋体" w:eastAsia="仿宋_GB2312" w:cs="宋体"/>
          <w:color w:val="000000"/>
          <w:kern w:val="0"/>
          <w:sz w:val="32"/>
          <w:szCs w:val="32"/>
        </w:rPr>
        <w:t>五年高质量培训家政从业人员</w:t>
      </w:r>
      <w:r>
        <w:rPr>
          <w:rFonts w:hint="eastAsia"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万人次。实施家政从业人员从业环境改善工程，建立严格高效的家政服务人员体检制度，开展最美家政人、最美家政故事寻找活动。</w:t>
      </w:r>
    </w:p>
    <w:p>
      <w:pPr>
        <w:ind w:firstLine="643" w:firstLineChars="200"/>
        <w:jc w:val="left"/>
        <w:outlineLvl w:val="1"/>
        <w:rPr>
          <w:rFonts w:ascii="仿宋_GB2312" w:eastAsia="仿宋_GB2312"/>
          <w:b/>
          <w:sz w:val="32"/>
          <w:szCs w:val="32"/>
        </w:rPr>
      </w:pPr>
      <w:bookmarkStart w:id="63" w:name="_Toc69259742"/>
      <w:r>
        <w:rPr>
          <w:rFonts w:hint="eastAsia" w:ascii="仿宋_GB2312" w:eastAsia="仿宋_GB2312"/>
          <w:b/>
          <w:sz w:val="32"/>
          <w:szCs w:val="32"/>
        </w:rPr>
        <w:t>（六）社会改革“便民”行动</w:t>
      </w:r>
      <w:bookmarkEnd w:id="62"/>
      <w:bookmarkEnd w:id="63"/>
    </w:p>
    <w:p>
      <w:pPr>
        <w:ind w:firstLine="640" w:firstLineChars="200"/>
        <w:rPr>
          <w:rFonts w:ascii="仿宋_GB2312" w:eastAsia="仿宋_GB2312"/>
          <w:sz w:val="32"/>
          <w:szCs w:val="32"/>
        </w:rPr>
      </w:pPr>
      <w:r>
        <w:rPr>
          <w:rFonts w:hint="eastAsia" w:ascii="仿宋_GB2312" w:eastAsia="仿宋_GB2312"/>
          <w:sz w:val="32"/>
          <w:szCs w:val="32"/>
        </w:rPr>
        <w:t>深化改革开放，稳步数字化改革、人才体制机制改革、重点领域体制改革，积极融入长三角，加强社会领域资源引进，推进社会公共服务制度创新和开放发展，以改革驱动、开放带动激发社会发展新活力。</w:t>
      </w:r>
    </w:p>
    <w:p>
      <w:pPr>
        <w:ind w:firstLine="643" w:firstLineChars="200"/>
        <w:outlineLvl w:val="2"/>
        <w:rPr>
          <w:rFonts w:ascii="仿宋_GB2312" w:hAnsi="Times New Roman" w:eastAsia="仿宋_GB2312" w:cs="Times New Roman"/>
          <w:b/>
          <w:sz w:val="32"/>
          <w:szCs w:val="32"/>
        </w:rPr>
      </w:pPr>
      <w:bookmarkStart w:id="64" w:name="_Toc69259743"/>
      <w:bookmarkStart w:id="65" w:name="_Toc68980549"/>
      <w:r>
        <w:rPr>
          <w:rFonts w:hint="eastAsia" w:ascii="仿宋_GB2312" w:hAnsi="Times New Roman" w:eastAsia="仿宋_GB2312" w:cs="Times New Roman"/>
          <w:b/>
          <w:sz w:val="32"/>
          <w:szCs w:val="32"/>
        </w:rPr>
        <w:t>1、推进数字化改革</w:t>
      </w:r>
      <w:bookmarkEnd w:id="64"/>
      <w:bookmarkEnd w:id="65"/>
    </w:p>
    <w:p>
      <w:pPr>
        <w:ind w:firstLine="643" w:firstLineChars="200"/>
        <w:rPr>
          <w:rFonts w:eastAsia="仿宋_GB2312"/>
          <w:b/>
          <w:sz w:val="32"/>
          <w:szCs w:val="32"/>
        </w:rPr>
      </w:pPr>
      <w:r>
        <w:rPr>
          <w:rFonts w:hint="eastAsia" w:ascii="Calibri" w:hAnsi="Calibri" w:eastAsia="仿宋_GB2312" w:cs="Times New Roman"/>
          <w:b/>
          <w:sz w:val="32"/>
          <w:szCs w:val="32"/>
        </w:rPr>
        <w:t>加强系统谋划，提升社会领域数字化能力</w:t>
      </w:r>
      <w:r>
        <w:rPr>
          <w:rFonts w:hint="eastAsia" w:eastAsia="仿宋_GB2312"/>
          <w:b/>
          <w:sz w:val="32"/>
          <w:szCs w:val="32"/>
        </w:rPr>
        <w:t>。</w:t>
      </w:r>
      <w:r>
        <w:rPr>
          <w:rFonts w:hint="eastAsia" w:ascii="Calibri" w:hAnsi="Calibri" w:eastAsia="仿宋_GB2312" w:cs="Times New Roman"/>
          <w:sz w:val="32"/>
          <w:szCs w:val="32"/>
        </w:rPr>
        <w:t>围绕“</w:t>
      </w:r>
      <w:r>
        <w:rPr>
          <w:rFonts w:ascii="Calibri" w:hAnsi="Calibri" w:eastAsia="仿宋_GB2312" w:cs="Times New Roman"/>
          <w:sz w:val="32"/>
          <w:szCs w:val="32"/>
        </w:rPr>
        <w:t>婴育、教育、就业、居住、文化、体育、旅游、医疗、养老、救助、</w:t>
      </w:r>
      <w:r>
        <w:rPr>
          <w:rFonts w:hint="eastAsia" w:ascii="Calibri" w:hAnsi="Calibri" w:eastAsia="仿宋_GB2312" w:cs="Times New Roman"/>
          <w:sz w:val="32"/>
          <w:szCs w:val="32"/>
        </w:rPr>
        <w:t>交通</w:t>
      </w:r>
      <w:r>
        <w:rPr>
          <w:rFonts w:ascii="Calibri" w:hAnsi="Calibri" w:eastAsia="仿宋_GB2312" w:cs="Times New Roman"/>
          <w:sz w:val="32"/>
          <w:szCs w:val="32"/>
        </w:rPr>
        <w:t>、家政</w:t>
      </w:r>
      <w:r>
        <w:rPr>
          <w:rFonts w:hint="eastAsia" w:ascii="Calibri" w:hAnsi="Calibri" w:eastAsia="仿宋_GB2312" w:cs="Times New Roman"/>
          <w:sz w:val="32"/>
          <w:szCs w:val="32"/>
        </w:rPr>
        <w:t>”</w:t>
      </w:r>
      <w:r>
        <w:rPr>
          <w:rFonts w:ascii="Calibri" w:hAnsi="Calibri" w:eastAsia="仿宋_GB2312" w:cs="Times New Roman"/>
          <w:sz w:val="32"/>
          <w:szCs w:val="32"/>
        </w:rPr>
        <w:t>等领域</w:t>
      </w:r>
      <w:r>
        <w:rPr>
          <w:rFonts w:hint="eastAsia" w:ascii="Calibri" w:hAnsi="Calibri" w:eastAsia="仿宋_GB2312" w:cs="Times New Roman"/>
          <w:sz w:val="32"/>
          <w:szCs w:val="32"/>
        </w:rPr>
        <w:t>，以全生命周期“一件事”改革为统领，创造性探索“一件事”集成协同场景，推动公共服务供给创新，在更高层次上实现基本公共服务均等化。在此基础上，以市政府工作报告关于民生实事年度任务为依据，推进民生实事落地。</w:t>
      </w:r>
      <w:r>
        <w:rPr>
          <w:rFonts w:ascii="Calibri" w:hAnsi="Calibri" w:eastAsia="仿宋_GB2312" w:cs="Times New Roman"/>
          <w:sz w:val="32"/>
          <w:szCs w:val="32"/>
        </w:rPr>
        <w:t>开展</w:t>
      </w:r>
      <w:r>
        <w:rPr>
          <w:rFonts w:hint="eastAsia" w:ascii="Calibri" w:hAnsi="Calibri" w:eastAsia="仿宋_GB2312" w:cs="Times New Roman"/>
          <w:sz w:val="32"/>
          <w:szCs w:val="32"/>
        </w:rPr>
        <w:t>跨部门多业务协同及</w:t>
      </w:r>
      <w:r>
        <w:rPr>
          <w:rFonts w:ascii="Calibri" w:hAnsi="Calibri" w:eastAsia="仿宋_GB2312" w:cs="Times New Roman"/>
          <w:sz w:val="32"/>
          <w:szCs w:val="32"/>
        </w:rPr>
        <w:t>子场景梳理，明确</w:t>
      </w:r>
      <w:r>
        <w:rPr>
          <w:rFonts w:hint="eastAsia" w:ascii="Calibri" w:hAnsi="Calibri" w:eastAsia="仿宋_GB2312" w:cs="Times New Roman"/>
          <w:sz w:val="32"/>
          <w:szCs w:val="32"/>
        </w:rPr>
        <w:t>每项</w:t>
      </w:r>
      <w:r>
        <w:rPr>
          <w:rFonts w:ascii="Calibri" w:hAnsi="Calibri" w:eastAsia="仿宋_GB2312" w:cs="Times New Roman"/>
          <w:sz w:val="32"/>
          <w:szCs w:val="32"/>
        </w:rPr>
        <w:t>子场景的领域、事项、指标、协同关系和数据等内容，</w:t>
      </w:r>
      <w:r>
        <w:rPr>
          <w:rFonts w:hint="eastAsia" w:ascii="Calibri" w:hAnsi="Calibri" w:eastAsia="仿宋_GB2312" w:cs="Times New Roman"/>
          <w:sz w:val="32"/>
          <w:szCs w:val="32"/>
        </w:rPr>
        <w:t>建立“4+2+2”清单</w:t>
      </w:r>
      <w:r>
        <w:rPr>
          <w:rFonts w:hint="eastAsia" w:eastAsia="仿宋_GB2312"/>
          <w:sz w:val="32"/>
          <w:szCs w:val="32"/>
        </w:rPr>
        <w:t>，</w:t>
      </w:r>
      <w:r>
        <w:rPr>
          <w:rFonts w:ascii="Calibri" w:hAnsi="Calibri" w:eastAsia="仿宋_GB2312" w:cs="Times New Roman"/>
          <w:sz w:val="32"/>
          <w:szCs w:val="32"/>
        </w:rPr>
        <w:t>推动跨业务流程再造、跨部门业务协同、跨行业数据共享，</w:t>
      </w:r>
      <w:r>
        <w:rPr>
          <w:rFonts w:hint="eastAsia" w:ascii="Calibri" w:hAnsi="Calibri" w:eastAsia="仿宋_GB2312" w:cs="Times New Roman"/>
          <w:sz w:val="32"/>
          <w:szCs w:val="32"/>
        </w:rPr>
        <w:t>将群众的高频需求转化为跨部门数字社会场景应用。</w:t>
      </w:r>
    </w:p>
    <w:p>
      <w:pPr>
        <w:ind w:firstLine="643" w:firstLineChars="200"/>
        <w:rPr>
          <w:rFonts w:eastAsia="仿宋_GB2312"/>
          <w:b/>
          <w:sz w:val="32"/>
          <w:szCs w:val="32"/>
        </w:rPr>
      </w:pPr>
      <w:r>
        <w:rPr>
          <w:rFonts w:hint="eastAsia" w:ascii="Calibri" w:hAnsi="Calibri" w:eastAsia="仿宋_GB2312" w:cs="Times New Roman"/>
          <w:b/>
          <w:sz w:val="32"/>
          <w:szCs w:val="32"/>
        </w:rPr>
        <w:t>加强系统集成，拓展数字化服务场景应用</w:t>
      </w:r>
      <w:r>
        <w:rPr>
          <w:rFonts w:hint="eastAsia" w:eastAsia="仿宋_GB2312"/>
          <w:b/>
          <w:sz w:val="32"/>
          <w:szCs w:val="32"/>
        </w:rPr>
        <w:t>。</w:t>
      </w:r>
      <w:r>
        <w:rPr>
          <w:rFonts w:hint="eastAsia" w:ascii="仿宋_GB2312" w:hAnsi="宋体" w:eastAsia="仿宋_GB2312" w:cs="宋体"/>
          <w:color w:val="000000"/>
          <w:kern w:val="0"/>
          <w:sz w:val="32"/>
          <w:szCs w:val="32"/>
        </w:rPr>
        <w:t>坚持集成创新，按照</w:t>
      </w:r>
      <w:r>
        <w:rPr>
          <w:rFonts w:ascii="Times New Roman" w:hAnsi="Times New Roman" w:eastAsia="宋体" w:cs="Times New Roman"/>
          <w:color w:val="000000"/>
          <w:kern w:val="0"/>
          <w:sz w:val="32"/>
          <w:szCs w:val="32"/>
        </w:rPr>
        <w:t>“V”</w:t>
      </w:r>
      <w:r>
        <w:rPr>
          <w:rFonts w:hint="eastAsia" w:ascii="仿宋_GB2312" w:hAnsi="宋体" w:eastAsia="仿宋_GB2312" w:cs="宋体"/>
          <w:color w:val="000000"/>
          <w:kern w:val="0"/>
          <w:sz w:val="32"/>
          <w:szCs w:val="32"/>
        </w:rPr>
        <w:t>型迭代模型，打造一批惠企惠民、好用易用的综合场景，形成</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破点</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连线</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成面</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立体</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最优方案，推动公共服务整体性优化和系统性重塑。开展未来社区标志性数字应用场景，</w:t>
      </w:r>
      <w:r>
        <w:rPr>
          <w:rFonts w:hint="eastAsia" w:ascii="仿宋_GB2312" w:hAnsi="Calibri" w:eastAsia="仿宋_GB2312" w:cs="Times New Roman"/>
          <w:sz w:val="32"/>
          <w:szCs w:val="32"/>
        </w:rPr>
        <w:t>率先提供数字生活、数字教育、数字交通、数字旅游、数字养老、数字健康等新服务跨部门协同应用，落地未来社区九大场景，形成数字社会城市基本功能单元系统。</w:t>
      </w:r>
      <w:r>
        <w:rPr>
          <w:rFonts w:ascii="Calibri" w:hAnsi="Calibri" w:eastAsia="仿宋_GB2312" w:cs="Times New Roman"/>
          <w:sz w:val="32"/>
          <w:szCs w:val="32"/>
        </w:rPr>
        <w:t>以“浙农码”为基础，</w:t>
      </w:r>
      <w:r>
        <w:rPr>
          <w:rFonts w:hint="eastAsia" w:ascii="Calibri" w:hAnsi="Calibri" w:eastAsia="仿宋_GB2312" w:cs="仿宋_GB2312"/>
          <w:color w:val="000000"/>
          <w:sz w:val="32"/>
          <w:szCs w:val="32"/>
        </w:rPr>
        <w:t>结合台州实际，</w:t>
      </w:r>
      <w:r>
        <w:rPr>
          <w:rFonts w:hint="eastAsia" w:ascii="Calibri" w:hAnsi="Calibri" w:eastAsia="仿宋_GB2312" w:cs="Times New Roman"/>
          <w:sz w:val="32"/>
          <w:szCs w:val="32"/>
        </w:rPr>
        <w:t>创新场景应用，打造一批可复制、可推广的数字乡村振兴应用场景典范。充分运用数字技术，加快数字就业、数字文化、数字救助、数字养老、数字旅游、数字交通等服务直达农村，</w:t>
      </w:r>
      <w:r>
        <w:rPr>
          <w:rFonts w:hint="eastAsia" w:ascii="仿宋_GB2312" w:hAnsi="宋体" w:eastAsia="仿宋_GB2312" w:cs="宋体"/>
          <w:color w:val="000000"/>
          <w:kern w:val="0"/>
          <w:sz w:val="32"/>
          <w:szCs w:val="32"/>
        </w:rPr>
        <w:t>创建乡村数字公共服务典型应用。</w:t>
      </w:r>
    </w:p>
    <w:p>
      <w:pPr>
        <w:ind w:firstLine="643" w:firstLineChars="200"/>
        <w:rPr>
          <w:rFonts w:ascii="Calibri" w:hAnsi="Calibri" w:eastAsia="仿宋_GB2312" w:cs="Times New Roman"/>
          <w:sz w:val="32"/>
          <w:szCs w:val="32"/>
        </w:rPr>
      </w:pPr>
      <w:r>
        <w:rPr>
          <w:rFonts w:hint="eastAsia" w:ascii="Calibri" w:hAnsi="Calibri" w:eastAsia="仿宋_GB2312" w:cs="Times New Roman"/>
          <w:b/>
          <w:sz w:val="32"/>
          <w:szCs w:val="32"/>
        </w:rPr>
        <w:t>加强系统支撑，推进</w:t>
      </w:r>
      <w:r>
        <w:rPr>
          <w:rFonts w:ascii="Calibri" w:hAnsi="Calibri" w:eastAsia="仿宋_GB2312" w:cs="Times New Roman"/>
          <w:b/>
          <w:sz w:val="32"/>
          <w:szCs w:val="32"/>
        </w:rPr>
        <w:t>城市大脑</w:t>
      </w:r>
      <w:r>
        <w:rPr>
          <w:rFonts w:hint="eastAsia" w:ascii="Calibri" w:hAnsi="Calibri" w:eastAsia="仿宋_GB2312" w:cs="Times New Roman"/>
          <w:b/>
          <w:sz w:val="32"/>
          <w:szCs w:val="32"/>
        </w:rPr>
        <w:t>建设</w:t>
      </w:r>
      <w:r>
        <w:rPr>
          <w:rFonts w:hint="eastAsia" w:eastAsia="仿宋_GB2312"/>
          <w:b/>
          <w:sz w:val="32"/>
          <w:szCs w:val="32"/>
        </w:rPr>
        <w:t>。</w:t>
      </w:r>
      <w:r>
        <w:rPr>
          <w:rFonts w:hint="eastAsia" w:ascii="Calibri" w:hAnsi="Calibri" w:eastAsia="仿宋_GB2312" w:cs="Times New Roman"/>
          <w:sz w:val="32"/>
          <w:szCs w:val="32"/>
        </w:rPr>
        <w:t>进一步理顺城市大脑管理运营体制机制，完善城市大脑基础设施，</w:t>
      </w:r>
      <w:r>
        <w:rPr>
          <w:rFonts w:hint="eastAsia" w:ascii="Calibri" w:hAnsi="Calibri" w:eastAsia="仿宋_GB2312" w:cs="Times New Roman"/>
          <w:color w:val="000000"/>
          <w:kern w:val="0"/>
          <w:sz w:val="32"/>
          <w:szCs w:val="32"/>
        </w:rPr>
        <w:t>夯实数据资源基础，</w:t>
      </w:r>
      <w:r>
        <w:rPr>
          <w:rFonts w:ascii="Calibri" w:hAnsi="Calibri" w:eastAsia="仿宋_GB2312" w:cs="Times New Roman"/>
          <w:sz w:val="32"/>
          <w:szCs w:val="32"/>
        </w:rPr>
        <w:t>强化多场景应用，充分考虑和纳入与数字社会相关的数据、模块及应用，</w:t>
      </w:r>
      <w:r>
        <w:rPr>
          <w:rFonts w:hint="eastAsia" w:ascii="Calibri" w:hAnsi="Calibri" w:eastAsia="仿宋_GB2312" w:cs="Times New Roman"/>
          <w:color w:val="000000"/>
          <w:kern w:val="0"/>
          <w:sz w:val="32"/>
          <w:szCs w:val="32"/>
        </w:rPr>
        <w:t>提升应用支撑能力，</w:t>
      </w:r>
      <w:r>
        <w:rPr>
          <w:rFonts w:hint="eastAsia" w:ascii="Calibri" w:hAnsi="Calibri" w:eastAsia="仿宋_GB2312" w:cs="Times New Roman"/>
          <w:sz w:val="32"/>
          <w:szCs w:val="32"/>
        </w:rPr>
        <w:t>形成需求和应用闭环的工作体系。按照建设跨部门多业务协同应用需要，</w:t>
      </w:r>
      <w:r>
        <w:rPr>
          <w:rFonts w:ascii="Calibri" w:hAnsi="Calibri" w:eastAsia="仿宋_GB2312" w:cs="Times New Roman"/>
          <w:sz w:val="32"/>
          <w:szCs w:val="32"/>
        </w:rPr>
        <w:t>持续推进城市大脑迭代提升和深化应用</w:t>
      </w:r>
      <w:r>
        <w:rPr>
          <w:rFonts w:hint="eastAsia" w:ascii="Calibri" w:hAnsi="Calibri" w:eastAsia="仿宋_GB2312" w:cs="Times New Roman"/>
          <w:sz w:val="32"/>
          <w:szCs w:val="32"/>
        </w:rPr>
        <w:t>，</w:t>
      </w:r>
      <w:r>
        <w:rPr>
          <w:rFonts w:hint="eastAsia" w:ascii="Calibri" w:hAnsi="Calibri" w:eastAsia="仿宋_GB2312" w:cs="Times New Roman"/>
          <w:color w:val="000000"/>
          <w:kern w:val="0"/>
          <w:sz w:val="32"/>
          <w:szCs w:val="32"/>
        </w:rPr>
        <w:t>构建</w:t>
      </w:r>
      <w:r>
        <w:rPr>
          <w:rFonts w:ascii="Calibri" w:hAnsi="Calibri" w:eastAsia="仿宋_GB2312" w:cs="Times New Roman"/>
          <w:color w:val="000000"/>
          <w:kern w:val="0"/>
          <w:sz w:val="32"/>
          <w:szCs w:val="32"/>
        </w:rPr>
        <w:t>更加</w:t>
      </w:r>
      <w:r>
        <w:rPr>
          <w:rFonts w:hint="eastAsia" w:ascii="Calibri" w:hAnsi="Calibri" w:eastAsia="仿宋_GB2312" w:cs="Times New Roman"/>
          <w:color w:val="000000"/>
          <w:kern w:val="0"/>
          <w:sz w:val="32"/>
          <w:szCs w:val="32"/>
        </w:rPr>
        <w:t>智慧化</w:t>
      </w:r>
      <w:r>
        <w:rPr>
          <w:rFonts w:ascii="Calibri" w:hAnsi="Calibri" w:eastAsia="仿宋_GB2312" w:cs="Times New Roman"/>
          <w:color w:val="000000"/>
          <w:kern w:val="0"/>
          <w:sz w:val="32"/>
          <w:szCs w:val="32"/>
        </w:rPr>
        <w:t>的</w:t>
      </w:r>
      <w:r>
        <w:rPr>
          <w:rFonts w:hint="eastAsia" w:ascii="Calibri" w:hAnsi="Calibri" w:eastAsia="仿宋_GB2312" w:cs="Times New Roman"/>
          <w:color w:val="000000"/>
          <w:kern w:val="0"/>
          <w:sz w:val="32"/>
          <w:szCs w:val="32"/>
        </w:rPr>
        <w:t>城市大脑</w:t>
      </w:r>
      <w:r>
        <w:rPr>
          <w:rFonts w:hint="eastAsia" w:ascii="Calibri" w:hAnsi="Calibri" w:eastAsia="仿宋_GB2312" w:cs="Times New Roman"/>
          <w:sz w:val="32"/>
          <w:szCs w:val="32"/>
        </w:rPr>
        <w:t>。</w:t>
      </w:r>
    </w:p>
    <w:tbl>
      <w:tblPr>
        <w:tblStyle w:val="16"/>
        <w:tblW w:w="0" w:type="auto"/>
        <w:tblInd w:w="0" w:type="dxa"/>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shd w:val="clear" w:color="auto" w:fill="92CDDC" w:themeFill="accent5" w:themeFillTint="99"/>
          </w:tcPr>
          <w:p>
            <w:pPr>
              <w:rPr>
                <w:rFonts w:eastAsia="仿宋_GB2312"/>
                <w:b/>
                <w:sz w:val="32"/>
                <w:szCs w:val="32"/>
              </w:rPr>
            </w:pPr>
            <w:r>
              <w:rPr>
                <w:rFonts w:hint="eastAsia" w:ascii="仿宋_GB2312" w:eastAsia="仿宋_GB2312"/>
                <w:b/>
                <w:bCs/>
                <w:color w:val="000000"/>
                <w:sz w:val="28"/>
                <w:szCs w:val="28"/>
              </w:rPr>
              <w:t>专栏16  数字社会重点应用场景</w:t>
            </w: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tcPr>
          <w:p>
            <w:pPr>
              <w:widowControl/>
              <w:spacing w:line="400" w:lineRule="exact"/>
              <w:ind w:firstLine="482" w:firstLineChars="200"/>
              <w:jc w:val="left"/>
              <w:rPr>
                <w:rFonts w:ascii="宋体" w:hAnsi="宋体" w:eastAsia="宋体" w:cs="宋体"/>
                <w:kern w:val="0"/>
                <w:sz w:val="24"/>
                <w:szCs w:val="24"/>
              </w:rPr>
            </w:pPr>
            <w:r>
              <w:rPr>
                <w:rFonts w:hint="eastAsia" w:ascii="仿宋_GB2312" w:hAnsi="宋体" w:eastAsia="仿宋_GB2312" w:cs="宋体"/>
                <w:b/>
                <w:bCs/>
                <w:color w:val="000000"/>
                <w:kern w:val="0"/>
                <w:sz w:val="24"/>
                <w:szCs w:val="24"/>
              </w:rPr>
              <w:t>智慧城市。</w:t>
            </w:r>
            <w:r>
              <w:rPr>
                <w:rFonts w:hint="eastAsia" w:ascii="仿宋_GB2312" w:hAnsi="宋体" w:eastAsia="仿宋_GB2312" w:cs="宋体"/>
                <w:color w:val="000000"/>
                <w:kern w:val="0"/>
                <w:sz w:val="24"/>
                <w:szCs w:val="24"/>
              </w:rPr>
              <w:t xml:space="preserve">提升各市城市大脑，以利民、惠企和基层治理为出发点，突出跨部门多业务协同，着力支撑推进交通、城管、教育、卫生健康、文旅等数字社会各领域场景应用建设。提升公共场所智慧化应用，大力推进交通设施、文化场馆、城乡公共厕所等公共场所数字化转型升级，加强公共场所智慧化场景开发应用。 </w:t>
            </w:r>
          </w:p>
          <w:p>
            <w:pPr>
              <w:widowControl/>
              <w:spacing w:line="400" w:lineRule="exact"/>
              <w:ind w:firstLine="482" w:firstLineChars="200"/>
              <w:jc w:val="left"/>
              <w:rPr>
                <w:rFonts w:hint="eastAsia" w:ascii="仿宋_GB2312" w:hAnsi="宋体" w:eastAsia="仿宋_GB2312" w:cs="宋体"/>
                <w:color w:val="000000"/>
                <w:kern w:val="0"/>
                <w:sz w:val="24"/>
                <w:szCs w:val="24"/>
              </w:rPr>
            </w:pPr>
            <w:r>
              <w:rPr>
                <w:rFonts w:hint="eastAsia" w:ascii="仿宋_GB2312" w:hAnsi="宋体" w:eastAsia="仿宋_GB2312" w:cs="宋体"/>
                <w:b/>
                <w:bCs/>
                <w:color w:val="000000"/>
                <w:kern w:val="0"/>
                <w:sz w:val="24"/>
                <w:szCs w:val="24"/>
              </w:rPr>
              <w:t>数字乡村。</w:t>
            </w:r>
            <w:r>
              <w:rPr>
                <w:rFonts w:hint="eastAsia" w:ascii="仿宋_GB2312" w:hAnsi="宋体" w:eastAsia="仿宋_GB2312" w:cs="宋体"/>
                <w:color w:val="000000"/>
                <w:kern w:val="0"/>
                <w:sz w:val="24"/>
                <w:szCs w:val="24"/>
              </w:rPr>
              <w:t>建设农村文化礼堂智慧服务应用。提升数字三农协同应用，推进全省农家乐（民宿）数字化转型升级，加强美丽乡村气象防灾减灾和智慧精细服务能力建设，促进乡村旅游服务和经济建设。推进历史文化（传统）村落保护利用数字化转型升级建设“亲农在线”应用平台、“智慧农村”服务平台、乡村人才振兴协同应用平台等。</w:t>
            </w:r>
          </w:p>
          <w:p>
            <w:pPr>
              <w:widowControl/>
              <w:spacing w:line="400" w:lineRule="exact"/>
              <w:ind w:firstLine="482" w:firstLineChars="200"/>
              <w:jc w:val="left"/>
              <w:rPr>
                <w:rFonts w:hint="eastAsia" w:ascii="宋体" w:hAnsi="宋体" w:eastAsia="宋体" w:cs="宋体"/>
                <w:kern w:val="0"/>
                <w:sz w:val="24"/>
                <w:szCs w:val="24"/>
              </w:rPr>
            </w:pPr>
            <w:r>
              <w:rPr>
                <w:rFonts w:hint="eastAsia" w:ascii="仿宋_GB2312" w:hAnsi="宋体" w:eastAsia="仿宋_GB2312" w:cs="宋体"/>
                <w:b/>
                <w:bCs/>
                <w:color w:val="000000"/>
                <w:kern w:val="0"/>
                <w:sz w:val="24"/>
                <w:szCs w:val="24"/>
              </w:rPr>
              <w:t>数字教育。</w:t>
            </w:r>
            <w:r>
              <w:rPr>
                <w:rFonts w:hint="eastAsia" w:ascii="仿宋_GB2312" w:hAnsi="宋体" w:eastAsia="仿宋_GB2312" w:cs="宋体"/>
                <w:color w:val="000000"/>
                <w:kern w:val="0"/>
                <w:sz w:val="24"/>
                <w:szCs w:val="24"/>
              </w:rPr>
              <w:t xml:space="preserve">建设教育全景图，构建支撑大规模个性化教学的互联网学校，构建终身学习体系。重点实现职教管理、民办教育机构、中小学劳动实践教育、教育资源数字化多场景应用。 </w:t>
            </w:r>
          </w:p>
          <w:p>
            <w:pPr>
              <w:widowControl/>
              <w:spacing w:line="400" w:lineRule="exact"/>
              <w:ind w:firstLine="482" w:firstLineChars="200"/>
              <w:jc w:val="left"/>
              <w:rPr>
                <w:rFonts w:ascii="仿宋_GB2312" w:hAnsi="宋体" w:eastAsia="仿宋_GB2312" w:cs="宋体"/>
                <w:color w:val="000000"/>
                <w:kern w:val="0"/>
                <w:sz w:val="24"/>
                <w:szCs w:val="24"/>
              </w:rPr>
            </w:pPr>
            <w:r>
              <w:rPr>
                <w:rFonts w:hint="eastAsia" w:ascii="仿宋_GB2312" w:hAnsi="宋体" w:eastAsia="仿宋_GB2312" w:cs="宋体"/>
                <w:b/>
                <w:bCs/>
                <w:color w:val="000000"/>
                <w:kern w:val="0"/>
                <w:sz w:val="24"/>
                <w:szCs w:val="24"/>
              </w:rPr>
              <w:t>数字健康。</w:t>
            </w:r>
            <w:r>
              <w:rPr>
                <w:rFonts w:hint="eastAsia" w:ascii="仿宋_GB2312" w:hAnsi="宋体" w:eastAsia="仿宋_GB2312" w:cs="宋体"/>
                <w:color w:val="000000"/>
                <w:kern w:val="0"/>
                <w:sz w:val="24"/>
                <w:szCs w:val="24"/>
              </w:rPr>
              <w:t>提升</w:t>
            </w:r>
            <w:r>
              <w:rPr>
                <w:rFonts w:ascii="Times New Roman" w:hAnsi="Times New Roman" w:eastAsia="宋体" w:cs="Times New Roman"/>
                <w:color w:val="000000"/>
                <w:kern w:val="0"/>
                <w:sz w:val="24"/>
                <w:szCs w:val="24"/>
              </w:rPr>
              <w:t>“</w:t>
            </w:r>
            <w:r>
              <w:rPr>
                <w:rFonts w:hint="eastAsia" w:ascii="仿宋_GB2312" w:hAnsi="宋体" w:eastAsia="仿宋_GB2312" w:cs="宋体"/>
                <w:color w:val="000000"/>
                <w:kern w:val="0"/>
                <w:sz w:val="24"/>
                <w:szCs w:val="24"/>
              </w:rPr>
              <w:t>互联网＋医疗健康</w:t>
            </w:r>
            <w:r>
              <w:rPr>
                <w:rFonts w:ascii="Times New Roman" w:hAnsi="Times New Roman" w:eastAsia="宋体" w:cs="Times New Roman"/>
                <w:color w:val="000000"/>
                <w:kern w:val="0"/>
                <w:sz w:val="24"/>
                <w:szCs w:val="24"/>
              </w:rPr>
              <w:t>”</w:t>
            </w:r>
            <w:r>
              <w:rPr>
                <w:rFonts w:hint="eastAsia" w:ascii="仿宋_GB2312" w:hAnsi="宋体" w:eastAsia="仿宋_GB2312" w:cs="宋体"/>
                <w:color w:val="000000"/>
                <w:kern w:val="0"/>
                <w:sz w:val="24"/>
                <w:szCs w:val="24"/>
              </w:rPr>
              <w:t>公共服务应用，优化掌上便民服务。建设云医共体平台，采取县、乡、村三级一体化、一朵云、一张网架构思路，重塑区域医疗健康体系。搭建区域疾病地图，构建健康数据中心、疾病区域展示、健康管理等功能。搭建5G智慧病房数据平台。提升智慧医保应用，通过医保精细化管理，推进医保支付方式改革、临床医疗行为规范。</w:t>
            </w:r>
          </w:p>
          <w:p>
            <w:pPr>
              <w:widowControl/>
              <w:spacing w:line="400" w:lineRule="exact"/>
              <w:ind w:firstLine="482" w:firstLineChars="200"/>
              <w:jc w:val="left"/>
              <w:rPr>
                <w:rFonts w:ascii="仿宋_GB2312" w:hAnsi="宋体" w:eastAsia="仿宋_GB2312" w:cs="宋体"/>
                <w:color w:val="000000"/>
                <w:kern w:val="0"/>
                <w:sz w:val="24"/>
                <w:szCs w:val="24"/>
              </w:rPr>
            </w:pPr>
            <w:r>
              <w:rPr>
                <w:rFonts w:hint="eastAsia" w:ascii="仿宋_GB2312" w:hAnsi="宋体" w:eastAsia="仿宋_GB2312" w:cs="宋体"/>
                <w:b/>
                <w:color w:val="000000"/>
                <w:kern w:val="0"/>
                <w:sz w:val="24"/>
                <w:szCs w:val="24"/>
              </w:rPr>
              <w:t>数字出行。</w:t>
            </w:r>
            <w:r>
              <w:rPr>
                <w:rFonts w:hint="eastAsia" w:ascii="仿宋_GB2312" w:hAnsi="宋体" w:eastAsia="仿宋_GB2312" w:cs="宋体"/>
                <w:color w:val="000000"/>
                <w:kern w:val="0"/>
                <w:sz w:val="24"/>
                <w:szCs w:val="24"/>
              </w:rPr>
              <w:t>提升公众出行服务数字化应用，深化出行服务应用，提供多样化出行信息服务，优化路况查询、重点区域高位监控视频查看等功能，接入地方特色出行应用。开展交通公共场所智慧化服务提升行动，推动高速公路服务区、内河水上服务区、水路客运站、机场等智慧化提升改造。完善智慧停车平台。</w:t>
            </w:r>
          </w:p>
          <w:p>
            <w:pPr>
              <w:widowControl/>
              <w:spacing w:line="400" w:lineRule="exact"/>
              <w:ind w:firstLine="482" w:firstLineChars="200"/>
              <w:jc w:val="left"/>
              <w:rPr>
                <w:rFonts w:hint="eastAsia" w:ascii="仿宋_GB2312" w:hAnsi="宋体" w:eastAsia="仿宋_GB2312" w:cs="宋体"/>
                <w:color w:val="000000"/>
                <w:kern w:val="0"/>
                <w:sz w:val="24"/>
                <w:szCs w:val="24"/>
              </w:rPr>
            </w:pPr>
            <w:r>
              <w:rPr>
                <w:rFonts w:hint="eastAsia" w:ascii="仿宋_GB2312" w:hAnsi="宋体" w:eastAsia="仿宋_GB2312" w:cs="宋体"/>
                <w:b/>
                <w:bCs/>
                <w:color w:val="000000"/>
                <w:kern w:val="0"/>
                <w:sz w:val="24"/>
                <w:szCs w:val="24"/>
              </w:rPr>
              <w:t>数字文体旅。</w:t>
            </w:r>
            <w:r>
              <w:rPr>
                <w:rFonts w:hint="eastAsia" w:ascii="仿宋_GB2312" w:hAnsi="宋体" w:eastAsia="仿宋_GB2312" w:cs="宋体"/>
                <w:color w:val="000000"/>
                <w:kern w:val="0"/>
                <w:sz w:val="24"/>
                <w:szCs w:val="24"/>
              </w:rPr>
              <w:t>提升文化领域公共服务应用，推进云上图书馆等数字化文化服务。建设智慧文旅平台，加快景区、博物馆、美术馆等文化场馆数字化、智能化转型升级，发展智慧文旅客流统计、游客洞察、智能预警等应用。搭建文旅市场执法监管数字智控平台，设立应急处置、远程监管、纠纷处置、智慧安防等功能，实现阳光酒店、阳光景区。</w:t>
            </w:r>
            <w:r>
              <w:rPr>
                <w:rFonts w:ascii="仿宋_GB2312" w:hAnsi="宋体" w:eastAsia="仿宋_GB2312" w:cs="宋体"/>
                <w:color w:val="000000"/>
                <w:kern w:val="0"/>
                <w:sz w:val="24"/>
                <w:szCs w:val="24"/>
              </w:rPr>
              <w:t>建设台州运动山海经体育公共服务平台</w:t>
            </w:r>
            <w:r>
              <w:rPr>
                <w:rFonts w:hint="eastAsia" w:ascii="仿宋_GB2312" w:hAnsi="宋体" w:eastAsia="仿宋_GB2312" w:cs="宋体"/>
                <w:color w:val="000000"/>
                <w:kern w:val="0"/>
                <w:sz w:val="24"/>
                <w:szCs w:val="24"/>
              </w:rPr>
              <w:t>，</w:t>
            </w:r>
            <w:r>
              <w:rPr>
                <w:rFonts w:ascii="仿宋_GB2312" w:hAnsi="宋体" w:eastAsia="仿宋_GB2312" w:cs="宋体"/>
                <w:color w:val="000000"/>
                <w:kern w:val="0"/>
                <w:sz w:val="24"/>
                <w:szCs w:val="24"/>
              </w:rPr>
              <w:t>评估市民运动健康程度，满足群众参与全民健身的需求。</w:t>
            </w:r>
          </w:p>
          <w:p>
            <w:pPr>
              <w:widowControl/>
              <w:spacing w:line="400" w:lineRule="exact"/>
              <w:ind w:firstLine="482" w:firstLineChars="200"/>
              <w:jc w:val="left"/>
              <w:rPr>
                <w:rFonts w:ascii="仿宋_GB2312" w:hAnsi="宋体" w:eastAsia="仿宋_GB2312" w:cs="宋体"/>
                <w:color w:val="000000"/>
                <w:kern w:val="0"/>
                <w:sz w:val="24"/>
                <w:szCs w:val="24"/>
              </w:rPr>
            </w:pPr>
            <w:r>
              <w:rPr>
                <w:rFonts w:hint="eastAsia" w:ascii="仿宋_GB2312" w:hAnsi="宋体" w:eastAsia="仿宋_GB2312" w:cs="宋体"/>
                <w:b/>
                <w:bCs/>
                <w:color w:val="000000"/>
                <w:kern w:val="0"/>
                <w:sz w:val="24"/>
                <w:szCs w:val="24"/>
              </w:rPr>
              <w:t>数字养老服务。</w:t>
            </w:r>
            <w:r>
              <w:rPr>
                <w:rFonts w:hint="eastAsia" w:ascii="仿宋_GB2312" w:hAnsi="宋体" w:eastAsia="仿宋_GB2312" w:cs="宋体"/>
                <w:color w:val="000000"/>
                <w:kern w:val="0"/>
                <w:sz w:val="24"/>
                <w:szCs w:val="24"/>
              </w:rPr>
              <w:t>建设智慧养老服务平台，完善养老服务地图，构建1115服务体系（1个社区，1个助老员，15分钟上门服务圈）。</w:t>
            </w:r>
          </w:p>
          <w:p>
            <w:pPr>
              <w:widowControl/>
              <w:spacing w:line="400" w:lineRule="exact"/>
              <w:ind w:firstLine="482" w:firstLineChars="200"/>
              <w:jc w:val="left"/>
              <w:rPr>
                <w:rFonts w:ascii="宋体" w:hAnsi="宋体" w:eastAsia="宋体" w:cs="宋体"/>
                <w:kern w:val="0"/>
                <w:sz w:val="24"/>
                <w:szCs w:val="24"/>
              </w:rPr>
            </w:pPr>
            <w:r>
              <w:rPr>
                <w:rFonts w:hint="eastAsia" w:ascii="仿宋_GB2312" w:hAnsi="宋体" w:eastAsia="仿宋_GB2312" w:cs="宋体"/>
                <w:b/>
                <w:bCs/>
                <w:color w:val="000000"/>
                <w:kern w:val="0"/>
                <w:sz w:val="24"/>
                <w:szCs w:val="24"/>
              </w:rPr>
              <w:t>数字就业服务。</w:t>
            </w:r>
            <w:r>
              <w:rPr>
                <w:rFonts w:hint="eastAsia" w:ascii="仿宋_GB2312" w:hAnsi="宋体" w:eastAsia="仿宋_GB2312" w:cs="宋体"/>
                <w:color w:val="000000"/>
                <w:kern w:val="0"/>
                <w:sz w:val="24"/>
                <w:szCs w:val="24"/>
              </w:rPr>
              <w:t>完善就业服务场景。提升人才服务应用，建设</w:t>
            </w:r>
            <w:r>
              <w:rPr>
                <w:rFonts w:ascii="Times New Roman" w:hAnsi="Times New Roman" w:eastAsia="宋体" w:cs="Times New Roman"/>
                <w:color w:val="000000"/>
                <w:kern w:val="0"/>
                <w:sz w:val="24"/>
                <w:szCs w:val="24"/>
              </w:rPr>
              <w:t>“</w:t>
            </w:r>
            <w:r>
              <w:rPr>
                <w:rFonts w:hint="eastAsia" w:ascii="仿宋_GB2312" w:hAnsi="宋体" w:eastAsia="仿宋_GB2312" w:cs="宋体"/>
                <w:color w:val="000000"/>
                <w:kern w:val="0"/>
                <w:sz w:val="24"/>
                <w:szCs w:val="24"/>
              </w:rPr>
              <w:t>人才码</w:t>
            </w:r>
            <w:r>
              <w:rPr>
                <w:rFonts w:ascii="Times New Roman" w:hAnsi="Times New Roman" w:eastAsia="宋体" w:cs="Times New Roman"/>
                <w:color w:val="000000"/>
                <w:kern w:val="0"/>
                <w:sz w:val="24"/>
                <w:szCs w:val="24"/>
              </w:rPr>
              <w:t>”</w:t>
            </w:r>
            <w:r>
              <w:rPr>
                <w:rFonts w:hint="eastAsia" w:ascii="仿宋_GB2312" w:hAnsi="宋体" w:eastAsia="仿宋_GB2312" w:cs="宋体"/>
                <w:color w:val="000000"/>
                <w:kern w:val="0"/>
                <w:sz w:val="24"/>
                <w:szCs w:val="24"/>
              </w:rPr>
              <w:t>应用。提升智慧技能一体化应用，完善线上＋线下职业技能培训和技能人才评价体系，提升技能数据归集、分析决策和技能人才激励服务功能，形成技能人才一体化的服务应用。建设网络市场智治平台，知识产权运营公共服务平台，助力人才创业。</w:t>
            </w:r>
          </w:p>
          <w:p>
            <w:pPr>
              <w:widowControl/>
              <w:spacing w:line="400" w:lineRule="exact"/>
              <w:ind w:firstLine="482" w:firstLineChars="200"/>
              <w:jc w:val="left"/>
              <w:rPr>
                <w:rFonts w:hint="eastAsia" w:ascii="仿宋_GB2312" w:hAnsi="宋体" w:eastAsia="仿宋_GB2312" w:cs="宋体"/>
                <w:color w:val="000000"/>
                <w:kern w:val="0"/>
                <w:sz w:val="24"/>
                <w:szCs w:val="24"/>
              </w:rPr>
            </w:pPr>
            <w:r>
              <w:rPr>
                <w:rFonts w:hint="eastAsia" w:ascii="仿宋_GB2312" w:hAnsi="宋体" w:eastAsia="仿宋_GB2312" w:cs="宋体"/>
                <w:b/>
                <w:color w:val="000000"/>
                <w:kern w:val="0"/>
                <w:sz w:val="24"/>
                <w:szCs w:val="24"/>
              </w:rPr>
              <w:t>数字家政。</w:t>
            </w:r>
            <w:r>
              <w:rPr>
                <w:rFonts w:ascii="仿宋_GB2312" w:hAnsi="宋体" w:eastAsia="仿宋_GB2312" w:cs="宋体"/>
                <w:color w:val="000000"/>
                <w:kern w:val="0"/>
                <w:sz w:val="24"/>
                <w:szCs w:val="24"/>
              </w:rPr>
              <w:t>建设市场智慧管理系统（农贸市场智慧化改造提升)</w:t>
            </w:r>
            <w:r>
              <w:rPr>
                <w:rFonts w:hint="eastAsia" w:ascii="仿宋_GB2312" w:hAnsi="宋体" w:eastAsia="仿宋_GB2312" w:cs="宋体"/>
                <w:color w:val="000000"/>
                <w:kern w:val="0"/>
                <w:sz w:val="24"/>
                <w:szCs w:val="24"/>
              </w:rPr>
              <w:t>，</w:t>
            </w:r>
            <w:r>
              <w:rPr>
                <w:rFonts w:ascii="仿宋_GB2312" w:hAnsi="宋体" w:eastAsia="仿宋_GB2312" w:cs="宋体"/>
                <w:color w:val="000000"/>
                <w:kern w:val="0"/>
                <w:sz w:val="24"/>
                <w:szCs w:val="24"/>
              </w:rPr>
              <w:t>实行线上线下联动服务。建设消费维保大数据平台</w:t>
            </w:r>
            <w:r>
              <w:rPr>
                <w:rFonts w:hint="eastAsia" w:ascii="仿宋_GB2312" w:hAnsi="宋体" w:eastAsia="仿宋_GB2312" w:cs="宋体"/>
                <w:color w:val="000000"/>
                <w:kern w:val="0"/>
                <w:sz w:val="24"/>
                <w:szCs w:val="24"/>
              </w:rPr>
              <w:t>，</w:t>
            </w:r>
            <w:r>
              <w:rPr>
                <w:rFonts w:ascii="仿宋_GB2312" w:hAnsi="宋体" w:eastAsia="仿宋_GB2312" w:cs="宋体"/>
                <w:color w:val="000000"/>
                <w:kern w:val="0"/>
                <w:sz w:val="24"/>
                <w:szCs w:val="24"/>
              </w:rPr>
              <w:t>将有效消费投诉处理结果及时展示给公众。建设智慧物业平台。</w:t>
            </w:r>
          </w:p>
          <w:p>
            <w:pPr>
              <w:widowControl/>
              <w:spacing w:line="400" w:lineRule="exact"/>
              <w:ind w:firstLine="482" w:firstLineChars="200"/>
              <w:jc w:val="left"/>
              <w:rPr>
                <w:rFonts w:ascii="仿宋_GB2312" w:hAnsi="宋体" w:eastAsia="仿宋_GB2312" w:cs="宋体"/>
                <w:color w:val="000000"/>
                <w:kern w:val="0"/>
                <w:sz w:val="24"/>
                <w:szCs w:val="24"/>
              </w:rPr>
            </w:pPr>
            <w:r>
              <w:rPr>
                <w:rFonts w:hint="eastAsia" w:ascii="仿宋_GB2312" w:hAnsi="宋体" w:eastAsia="仿宋_GB2312" w:cs="宋体"/>
                <w:b/>
                <w:bCs/>
                <w:color w:val="000000"/>
                <w:kern w:val="0"/>
                <w:sz w:val="24"/>
                <w:szCs w:val="24"/>
              </w:rPr>
              <w:t>公共安全数字化预警处置。</w:t>
            </w:r>
            <w:r>
              <w:rPr>
                <w:rFonts w:hint="eastAsia" w:ascii="仿宋_GB2312" w:hAnsi="宋体" w:eastAsia="仿宋_GB2312" w:cs="宋体"/>
                <w:color w:val="000000"/>
                <w:kern w:val="0"/>
                <w:sz w:val="24"/>
                <w:szCs w:val="24"/>
              </w:rPr>
              <w:t>完善公共卫生、自然灾害和安全生产等领域重大风险研判、评估、决策、防控协同机制，构建快速、高效、全覆盖的急症重症医疗救助体系和灾害事故风险防控体系。</w:t>
            </w:r>
            <w:r>
              <w:rPr>
                <w:rFonts w:ascii="仿宋_GB2312" w:hAnsi="宋体" w:eastAsia="仿宋_GB2312" w:cs="宋体"/>
                <w:color w:val="000000"/>
                <w:kern w:val="0"/>
                <w:sz w:val="24"/>
                <w:szCs w:val="24"/>
              </w:rPr>
              <w:t>建设“台药链”平台，实现药品全链条追溯</w:t>
            </w:r>
            <w:r>
              <w:rPr>
                <w:rFonts w:hint="eastAsia" w:ascii="仿宋_GB2312" w:hAnsi="宋体" w:eastAsia="仿宋_GB2312" w:cs="宋体"/>
                <w:color w:val="000000"/>
                <w:kern w:val="0"/>
                <w:sz w:val="24"/>
                <w:szCs w:val="24"/>
              </w:rPr>
              <w:t>。建设社区治理协同平台，构建智安和谐社区。</w:t>
            </w:r>
          </w:p>
        </w:tc>
      </w:tr>
    </w:tbl>
    <w:p>
      <w:pPr>
        <w:ind w:firstLine="643" w:firstLineChars="200"/>
        <w:outlineLvl w:val="2"/>
        <w:rPr>
          <w:rFonts w:ascii="仿宋_GB2312" w:hAnsi="Times New Roman" w:eastAsia="仿宋_GB2312" w:cs="Times New Roman"/>
          <w:b/>
          <w:sz w:val="32"/>
          <w:szCs w:val="32"/>
        </w:rPr>
      </w:pPr>
      <w:bookmarkStart w:id="66" w:name="_Toc68980550"/>
      <w:bookmarkStart w:id="67" w:name="_Toc69259744"/>
      <w:r>
        <w:rPr>
          <w:rFonts w:hint="eastAsia" w:ascii="仿宋_GB2312" w:hAnsi="Times New Roman" w:eastAsia="仿宋_GB2312" w:cs="Times New Roman"/>
          <w:b/>
          <w:sz w:val="32"/>
          <w:szCs w:val="32"/>
        </w:rPr>
        <w:t>2、深化体制机制改革</w:t>
      </w:r>
      <w:bookmarkEnd w:id="66"/>
      <w:bookmarkEnd w:id="67"/>
    </w:p>
    <w:p>
      <w:pPr>
        <w:ind w:firstLine="643" w:firstLineChars="200"/>
        <w:rPr>
          <w:rFonts w:ascii="仿宋_GB2312" w:eastAsia="仿宋_GB2312" w:hAnsiTheme="minorEastAsia"/>
          <w:sz w:val="32"/>
          <w:szCs w:val="32"/>
        </w:rPr>
      </w:pPr>
      <w:r>
        <w:rPr>
          <w:rFonts w:hint="eastAsia" w:ascii="仿宋_GB2312" w:eastAsia="仿宋_GB2312" w:cs="Times New Roman"/>
          <w:b/>
          <w:sz w:val="32"/>
          <w:szCs w:val="32"/>
        </w:rPr>
        <w:t>加强人才体制机制改革。</w:t>
      </w:r>
      <w:r>
        <w:rPr>
          <w:rFonts w:hint="eastAsia" w:ascii="仿宋_GB2312" w:eastAsia="仿宋_GB2312"/>
          <w:sz w:val="32"/>
          <w:szCs w:val="32"/>
        </w:rPr>
        <w:t>推动人才工作全面对接大上海，</w:t>
      </w:r>
      <w:r>
        <w:rPr>
          <w:rFonts w:hint="eastAsia" w:ascii="仿宋_GB2312" w:eastAsia="仿宋_GB2312" w:cs="Times New Roman"/>
          <w:sz w:val="32"/>
          <w:szCs w:val="32"/>
        </w:rPr>
        <w:t>不断深化</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上海杨浦</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浙江台州</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人才合作体制机制，合力构建人才发展利益共享机制，共同打造长三角人才工作一体化发展示范城市。进一步创新引才模式，加快云引才步伐，加大高层次人才和高校毕业生引进力度。</w:t>
      </w:r>
      <w:r>
        <w:rPr>
          <w:rFonts w:hint="eastAsia" w:ascii="仿宋_GB2312" w:hAnsi="Calibri" w:eastAsia="仿宋_GB2312" w:cs="Times New Roman"/>
          <w:sz w:val="32"/>
          <w:szCs w:val="32"/>
        </w:rPr>
        <w:t>建立健全人才市场化评定机制，</w:t>
      </w:r>
      <w:r>
        <w:rPr>
          <w:rFonts w:hint="eastAsia" w:ascii="仿宋_GB2312" w:eastAsia="仿宋_GB2312" w:cs="Times New Roman"/>
          <w:sz w:val="32"/>
          <w:szCs w:val="32"/>
        </w:rPr>
        <w:t>探索在有实力的企业开展创新人才自主评审，</w:t>
      </w:r>
      <w:r>
        <w:rPr>
          <w:rFonts w:hint="eastAsia" w:ascii="仿宋_GB2312" w:hAnsi="Calibri" w:eastAsia="仿宋_GB2312" w:cs="Times New Roman"/>
          <w:sz w:val="32"/>
          <w:szCs w:val="32"/>
        </w:rPr>
        <w:t>探索推广以薪</w:t>
      </w:r>
      <w:r>
        <w:rPr>
          <w:rFonts w:hint="eastAsia" w:ascii="仿宋_GB2312" w:eastAsia="仿宋_GB2312" w:cs="Times New Roman"/>
          <w:sz w:val="32"/>
          <w:szCs w:val="32"/>
        </w:rPr>
        <w:t>评价、以资评价等多渠道的用人单位人才自主评价方式。探索科研人员职务成果所有权或长期使用权试点，允许单位和科研人员共有成果所有权，鼓励单位授予科研人员可转让的成果独占许可权。</w:t>
      </w:r>
      <w:r>
        <w:rPr>
          <w:rFonts w:hint="eastAsia" w:ascii="仿宋_GB2312" w:eastAsia="仿宋_GB2312"/>
          <w:sz w:val="32"/>
          <w:szCs w:val="32"/>
        </w:rPr>
        <w:t>实施新时代工匠培育工程，制定台州市金蓝领评价激励办法，做强做精企业职业技能等级自主认定工作。深入推进职称制</w:t>
      </w:r>
      <w:r>
        <w:rPr>
          <w:rFonts w:hint="eastAsia" w:ascii="仿宋_GB2312" w:eastAsia="仿宋_GB2312" w:hAnsiTheme="minorEastAsia"/>
          <w:sz w:val="32"/>
          <w:szCs w:val="32"/>
        </w:rPr>
        <w:t>度和事业单位工资制度改革。</w:t>
      </w:r>
    </w:p>
    <w:p>
      <w:pPr>
        <w:ind w:firstLine="596" w:firstLineChars="198"/>
        <w:rPr>
          <w:rFonts w:ascii="Times New Roman" w:hAnsi="Times New Roman" w:eastAsia="仿宋_GB2312"/>
          <w:b/>
          <w:sz w:val="30"/>
          <w:szCs w:val="30"/>
        </w:rPr>
      </w:pPr>
      <w:r>
        <w:rPr>
          <w:rFonts w:hint="eastAsia" w:ascii="Times New Roman" w:hAnsi="Times New Roman" w:eastAsia="仿宋_GB2312"/>
          <w:b/>
          <w:sz w:val="30"/>
          <w:szCs w:val="30"/>
        </w:rPr>
        <w:t>全面推进市场化改革。</w:t>
      </w:r>
      <w:r>
        <w:rPr>
          <w:rFonts w:ascii="Times New Roman" w:hAnsi="Times New Roman" w:eastAsia="仿宋_GB2312" w:cs="Times New Roman"/>
          <w:sz w:val="32"/>
          <w:szCs w:val="32"/>
        </w:rPr>
        <w:t>以政策制定、规划</w:t>
      </w:r>
      <w:r>
        <w:rPr>
          <w:rFonts w:hint="eastAsia" w:eastAsia="仿宋_GB2312"/>
          <w:sz w:val="32"/>
          <w:szCs w:val="32"/>
        </w:rPr>
        <w:t>引领、环境营造、监管服务为重点，</w:t>
      </w:r>
      <w:r>
        <w:rPr>
          <w:rFonts w:hint="eastAsia" w:ascii="仿宋_GB2312" w:eastAsia="仿宋_GB2312" w:hAnsiTheme="minorEastAsia"/>
          <w:sz w:val="32"/>
          <w:szCs w:val="32"/>
        </w:rPr>
        <w:t>逐步扩大社会领域面向社会资本开放领域。</w:t>
      </w:r>
      <w:r>
        <w:rPr>
          <w:rFonts w:hint="eastAsia" w:eastAsia="仿宋_GB2312"/>
          <w:sz w:val="32"/>
          <w:szCs w:val="32"/>
        </w:rPr>
        <w:t>充分发挥市场、乡贤和行业协会、商会等社会组织的</w:t>
      </w:r>
      <w:r>
        <w:rPr>
          <w:rFonts w:ascii="Times New Roman" w:hAnsi="Times New Roman" w:eastAsia="仿宋_GB2312" w:cs="Times New Roman"/>
          <w:sz w:val="32"/>
          <w:szCs w:val="32"/>
        </w:rPr>
        <w:t>作用，鼓励引导社会力量参与</w:t>
      </w:r>
      <w:r>
        <w:rPr>
          <w:rFonts w:hint="eastAsia" w:ascii="Times New Roman" w:hAnsi="Times New Roman" w:eastAsia="仿宋_GB2312" w:cs="Times New Roman"/>
          <w:sz w:val="32"/>
          <w:szCs w:val="32"/>
        </w:rPr>
        <w:t>，</w:t>
      </w:r>
      <w:r>
        <w:rPr>
          <w:rFonts w:hint="eastAsia" w:eastAsia="仿宋_GB2312"/>
          <w:sz w:val="32"/>
          <w:szCs w:val="32"/>
        </w:rPr>
        <w:t>推进民办教育、托育服务、社会办医、社会办养老发展，实施一批非基本公共服务领域重点工程，</w:t>
      </w:r>
      <w:r>
        <w:rPr>
          <w:rFonts w:ascii="Times New Roman" w:hAnsi="Times New Roman" w:eastAsia="仿宋_GB2312" w:cs="Times New Roman"/>
          <w:sz w:val="32"/>
          <w:szCs w:val="32"/>
        </w:rPr>
        <w:t>在部分领域先行探索建立“群众+市场+政府”的共筹共建模式，即群众主导、社会参与、政</w:t>
      </w:r>
      <w:r>
        <w:rPr>
          <w:rFonts w:hint="eastAsia" w:eastAsia="仿宋_GB2312"/>
          <w:sz w:val="32"/>
          <w:szCs w:val="32"/>
        </w:rPr>
        <w:t>府补贴，增强民众参与社会领域建设积极性与主动性。</w:t>
      </w:r>
    </w:p>
    <w:p>
      <w:pPr>
        <w:pStyle w:val="15"/>
        <w:ind w:left="0" w:leftChars="0" w:firstLine="641"/>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重点领域体体制机制改革。</w:t>
      </w:r>
      <w:r>
        <w:rPr>
          <w:rFonts w:hint="eastAsia" w:eastAsia="仿宋_GB2312" w:asciiTheme="minorHAnsi" w:hAnsiTheme="minorHAnsi" w:cstheme="minorBidi"/>
          <w:sz w:val="32"/>
          <w:szCs w:val="32"/>
        </w:rPr>
        <w:t>紧紧围绕社会领域5大行动，</w:t>
      </w:r>
      <w:r>
        <w:rPr>
          <w:rFonts w:eastAsia="仿宋_GB2312" w:asciiTheme="minorHAnsi" w:hAnsiTheme="minorHAnsi" w:cstheme="minorBidi"/>
          <w:sz w:val="32"/>
          <w:szCs w:val="32"/>
        </w:rPr>
        <w:t>以问题为导向，抓住重点领域和关键环节，瞄准体制机制障碍,突出机制建设，</w:t>
      </w:r>
      <w:r>
        <w:rPr>
          <w:rFonts w:hint="eastAsia" w:eastAsia="仿宋_GB2312" w:asciiTheme="minorHAnsi" w:hAnsiTheme="minorHAnsi" w:cstheme="minorBidi"/>
          <w:sz w:val="32"/>
          <w:szCs w:val="32"/>
        </w:rPr>
        <w:t>力争在</w:t>
      </w:r>
      <w:r>
        <w:rPr>
          <w:rFonts w:eastAsia="仿宋_GB2312" w:asciiTheme="minorHAnsi" w:hAnsiTheme="minorHAnsi" w:cstheme="minorBidi"/>
          <w:sz w:val="32"/>
          <w:szCs w:val="32"/>
        </w:rPr>
        <w:t>重点在</w:t>
      </w:r>
      <w:r>
        <w:rPr>
          <w:rFonts w:hint="eastAsia" w:eastAsia="仿宋_GB2312" w:asciiTheme="minorHAnsi" w:hAnsiTheme="minorHAnsi" w:cstheme="minorBidi"/>
          <w:sz w:val="32"/>
          <w:szCs w:val="32"/>
        </w:rPr>
        <w:t>教育、卫生、文化、养老、体育等</w:t>
      </w:r>
      <w:r>
        <w:rPr>
          <w:rFonts w:eastAsia="仿宋_GB2312" w:asciiTheme="minorHAnsi" w:hAnsiTheme="minorHAnsi" w:cstheme="minorBidi"/>
          <w:sz w:val="32"/>
          <w:szCs w:val="32"/>
        </w:rPr>
        <w:t>领域</w:t>
      </w:r>
      <w:r>
        <w:rPr>
          <w:rFonts w:hint="eastAsia" w:eastAsia="仿宋_GB2312" w:asciiTheme="minorHAnsi" w:hAnsiTheme="minorHAnsi" w:cstheme="minorBidi"/>
          <w:sz w:val="32"/>
          <w:szCs w:val="32"/>
        </w:rPr>
        <w:t>形成一批标志性改革成果。</w:t>
      </w:r>
    </w:p>
    <w:tbl>
      <w:tblPr>
        <w:tblStyle w:val="16"/>
        <w:tblW w:w="0" w:type="auto"/>
        <w:tblInd w:w="0" w:type="dxa"/>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shd w:val="clear" w:color="auto" w:fill="92CDDC" w:themeFill="accent5" w:themeFillTint="99"/>
          </w:tcPr>
          <w:p>
            <w:pPr>
              <w:rPr>
                <w:rFonts w:eastAsia="仿宋_GB2312"/>
                <w:b/>
                <w:sz w:val="32"/>
                <w:szCs w:val="32"/>
              </w:rPr>
            </w:pPr>
            <w:r>
              <w:rPr>
                <w:rFonts w:hint="eastAsia" w:ascii="仿宋_GB2312" w:eastAsia="仿宋_GB2312"/>
                <w:b/>
                <w:bCs/>
                <w:color w:val="000000"/>
                <w:sz w:val="28"/>
                <w:szCs w:val="28"/>
              </w:rPr>
              <w:t>专栏17   重点领域体制机制改革</w:t>
            </w:r>
          </w:p>
        </w:tc>
      </w:tr>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c>
          <w:tcPr>
            <w:tcW w:w="8522" w:type="dxa"/>
          </w:tcPr>
          <w:p>
            <w:pPr>
              <w:pStyle w:val="15"/>
              <w:spacing w:after="0" w:line="400" w:lineRule="exact"/>
              <w:ind w:left="0" w:leftChars="0" w:firstLine="482" w:firstLineChars="200"/>
              <w:rPr>
                <w:rFonts w:ascii="仿宋_GB2312" w:hAnsi="Times New Roman" w:eastAsia="仿宋_GB2312" w:cs="Times New Roman"/>
                <w:sz w:val="24"/>
                <w:szCs w:val="24"/>
              </w:rPr>
            </w:pPr>
            <w:r>
              <w:rPr>
                <w:rFonts w:hint="eastAsia" w:ascii="仿宋_GB2312" w:eastAsia="仿宋_GB2312" w:hAnsiTheme="minorEastAsia" w:cstheme="minorBidi"/>
                <w:b/>
                <w:sz w:val="24"/>
                <w:szCs w:val="24"/>
              </w:rPr>
              <w:t>教育领域。</w:t>
            </w:r>
            <w:r>
              <w:rPr>
                <w:rFonts w:hint="eastAsia" w:ascii="仿宋_GB2312" w:hAnsi="Times New Roman" w:eastAsia="仿宋_GB2312" w:cs="Times New Roman"/>
                <w:sz w:val="24"/>
                <w:szCs w:val="24"/>
              </w:rPr>
              <w:t>开展基础教育质量监测迭代升级行动，推进“监测、行政、督导”三位一体的基础教育质量监测与评价改革，形成从质量监测到督导评估的闭环评价体系。推进民办教育“分类管理”改革，促进民办教育健康发展。出台《台州市新时代学校评价标准》，全面提升教育治理综合效能。深化校长职级制改革、教师“县管校聘”、职业教师薪酬改革，扩大高中学校职称自主评聘范围，探索推进义务教育教师评聘权限下放。</w:t>
            </w:r>
          </w:p>
          <w:p>
            <w:pPr>
              <w:adjustRightInd w:val="0"/>
              <w:snapToGrid w:val="0"/>
              <w:spacing w:line="400" w:lineRule="exact"/>
              <w:ind w:firstLine="482" w:firstLineChars="200"/>
              <w:rPr>
                <w:rFonts w:ascii="仿宋_GB2312" w:hAnsi="宋体" w:eastAsia="仿宋_GB2312"/>
                <w:bCs/>
                <w:color w:val="000000"/>
                <w:sz w:val="24"/>
                <w:szCs w:val="24"/>
              </w:rPr>
            </w:pPr>
            <w:r>
              <w:rPr>
                <w:rFonts w:hint="eastAsia" w:ascii="仿宋_GB2312" w:hAnsi="Times New Roman" w:eastAsia="仿宋_GB2312" w:cs="Times New Roman"/>
                <w:b/>
                <w:sz w:val="24"/>
                <w:szCs w:val="24"/>
              </w:rPr>
              <w:t>卫生领域。</w:t>
            </w:r>
            <w:r>
              <w:rPr>
                <w:rFonts w:hint="eastAsia" w:ascii="仿宋_GB2312" w:hAnsi="Times New Roman" w:eastAsia="仿宋_GB2312" w:cs="Times New Roman"/>
                <w:sz w:val="24"/>
                <w:szCs w:val="24"/>
              </w:rPr>
              <w:t>深化“三医联动、六医统筹”改革，建立完善动态调整医疗服务价格机制，加快建立现代医院管理制度和分级诊疗制度。推动落实将健康优先融入全局，开展“健康评价融万策”试点。强化医共体医防融合、医保支付和人事薪酬等制度改革。推行县乡村卫生一体化综合改革。积极创建妇幼保健机构机制创新国家级试点。深入推进群众“一件事”改革。推进全市公共卫生应急管理综合改革。完善七大机制，健全六大体系，推进五大建设。</w:t>
            </w:r>
          </w:p>
          <w:p>
            <w:pPr>
              <w:pStyle w:val="15"/>
              <w:spacing w:after="0" w:line="400" w:lineRule="exact"/>
              <w:ind w:left="0" w:leftChars="0" w:firstLine="482"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文化领域。</w:t>
            </w:r>
            <w:r>
              <w:rPr>
                <w:rFonts w:hint="eastAsia" w:ascii="仿宋_GB2312" w:hAnsi="Times New Roman" w:eastAsia="仿宋_GB2312" w:cs="Times New Roman"/>
                <w:sz w:val="24"/>
                <w:szCs w:val="24"/>
              </w:rPr>
              <w:t>推进公共文化服务标准化、均等化改革，重点开展公共文化服务资源标准、服务规范、满意度评估标准的研制工作，探索“城市书房”“文化驿站”等社区文化服务标准化模式，完善公共文化服务“运行评估”和“绩效评价”制度。创新政府购买公共文化服务机制，完善“文化订制”精准服务机制，提高公共文化服务效率。创新文旅市场“非现场”监管模式，完善“全链式”执法体系，力争成为全省乃至全国文化和旅游系统现代化治理先行先试实验地。持续推进经营性文化事业单位改革。</w:t>
            </w:r>
          </w:p>
          <w:p>
            <w:pPr>
              <w:adjustRightInd w:val="0"/>
              <w:snapToGrid w:val="0"/>
              <w:spacing w:line="400" w:lineRule="exact"/>
              <w:ind w:firstLine="482" w:firstLineChars="200"/>
              <w:rPr>
                <w:rFonts w:ascii="仿宋_GB2312" w:hAnsi="宋体" w:eastAsia="仿宋_GB2312"/>
                <w:bCs/>
                <w:color w:val="000000"/>
                <w:sz w:val="24"/>
                <w:szCs w:val="24"/>
              </w:rPr>
            </w:pPr>
            <w:r>
              <w:rPr>
                <w:rFonts w:hint="eastAsia" w:ascii="仿宋_GB2312" w:hAnsi="宋体" w:eastAsia="仿宋_GB2312"/>
                <w:b/>
                <w:bCs/>
                <w:color w:val="000000"/>
                <w:sz w:val="24"/>
                <w:szCs w:val="24"/>
              </w:rPr>
              <w:t>养老领域。</w:t>
            </w:r>
            <w:r>
              <w:rPr>
                <w:rFonts w:hint="eastAsia" w:ascii="仿宋_GB2312" w:hAnsi="宋体" w:eastAsia="仿宋_GB2312"/>
                <w:bCs/>
                <w:color w:val="000000"/>
                <w:sz w:val="24"/>
                <w:szCs w:val="24"/>
              </w:rPr>
              <w:t>改革运营管理模式，推进居家和社区养老服务精细化、专业化发展。健全完善特殊困难老年人服务体系，促进“医、康、养、护”融合发展。探索台州特色的农村养老模式。推广应用集“监、管、用”于一体的“互联网+智慧便民”养老服务平台。</w:t>
            </w:r>
          </w:p>
          <w:p>
            <w:pPr>
              <w:adjustRightInd w:val="0"/>
              <w:snapToGrid w:val="0"/>
              <w:spacing w:line="400" w:lineRule="exact"/>
              <w:ind w:firstLine="482" w:firstLineChars="200"/>
              <w:rPr>
                <w:rFonts w:ascii="仿宋_GB2312" w:hAnsi="宋体" w:eastAsia="仿宋_GB2312"/>
                <w:bCs/>
                <w:color w:val="000000"/>
                <w:sz w:val="24"/>
                <w:szCs w:val="24"/>
              </w:rPr>
            </w:pPr>
            <w:r>
              <w:rPr>
                <w:rFonts w:hint="eastAsia" w:ascii="仿宋_GB2312" w:hAnsi="宋体" w:eastAsia="仿宋_GB2312"/>
                <w:b/>
                <w:bCs/>
                <w:color w:val="000000"/>
                <w:sz w:val="24"/>
                <w:szCs w:val="24"/>
              </w:rPr>
              <w:t>体育领域。</w:t>
            </w:r>
            <w:r>
              <w:rPr>
                <w:rFonts w:hint="eastAsia" w:ascii="仿宋_GB2312" w:hAnsi="宋体" w:eastAsia="仿宋_GB2312"/>
                <w:bCs/>
                <w:color w:val="000000"/>
                <w:sz w:val="24"/>
                <w:szCs w:val="24"/>
              </w:rPr>
              <w:t>构建各级体育社会组织完备的工作网络体系、规范的制度管理体系、精准的绩效评估体系、科学的保障激励体系，探索建立体育社会组织大数据管理体系，推进体育社会组织实体化改革建设。</w:t>
            </w:r>
          </w:p>
        </w:tc>
      </w:tr>
    </w:tbl>
    <w:p>
      <w:pPr>
        <w:ind w:firstLine="643" w:firstLineChars="200"/>
        <w:outlineLvl w:val="2"/>
        <w:rPr>
          <w:rFonts w:ascii="仿宋_GB2312" w:hAnsi="Times New Roman" w:eastAsia="仿宋_GB2312" w:cs="Times New Roman"/>
          <w:b/>
          <w:sz w:val="32"/>
          <w:szCs w:val="32"/>
        </w:rPr>
      </w:pPr>
      <w:bookmarkStart w:id="68" w:name="_Toc68980551"/>
      <w:bookmarkStart w:id="69" w:name="_Toc69259745"/>
      <w:r>
        <w:rPr>
          <w:rFonts w:hint="eastAsia" w:ascii="仿宋_GB2312" w:hAnsi="Times New Roman" w:eastAsia="仿宋_GB2312" w:cs="Times New Roman"/>
          <w:b/>
          <w:sz w:val="32"/>
          <w:szCs w:val="32"/>
        </w:rPr>
        <w:t>3、强化开放合作</w:t>
      </w:r>
      <w:bookmarkEnd w:id="68"/>
      <w:bookmarkEnd w:id="69"/>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以融入长三角区域一体化为重点，加快社会领域的开放合作。不断拓展长三角城市群公共服务领域合作范围和深度，实现民生一卡通。全面深化教育资源、健康医疗、文旅、就业和社会保障等方面合作，积极融入长三角院校高等教育联盟、长三角公共创业服务联盟。建立城市间定期互访制度，加强社会领域产业合作与交流，主动对接长三角的资本、产业、技术和人才资源，积极招引健康服务、教育培训、文化体育、休闲旅游等领域龙头企业来台州布局设点。开展个人信用评价，推动长三角区域内个人信用评价结果互认共享，共建长三角国家社会信用体系建设区域合作示范区。构建区域安全信息共享、联动防御机制，加强社会治理领域的交流合作，持续提升社会安全联防能力。</w:t>
      </w:r>
    </w:p>
    <w:p>
      <w:pPr>
        <w:ind w:firstLine="643" w:firstLineChars="200"/>
        <w:jc w:val="left"/>
        <w:outlineLvl w:val="0"/>
        <w:rPr>
          <w:rFonts w:ascii="仿宋_GB2312" w:eastAsia="仿宋_GB2312"/>
          <w:b/>
          <w:sz w:val="32"/>
          <w:szCs w:val="32"/>
        </w:rPr>
      </w:pPr>
      <w:bookmarkStart w:id="70" w:name="_Toc68980552"/>
      <w:bookmarkStart w:id="71" w:name="_Toc69259746"/>
      <w:r>
        <w:rPr>
          <w:rFonts w:hint="eastAsia" w:ascii="仿宋_GB2312" w:eastAsia="仿宋_GB2312"/>
          <w:b/>
          <w:sz w:val="32"/>
          <w:szCs w:val="32"/>
        </w:rPr>
        <w:t>四、保障措施</w:t>
      </w:r>
      <w:bookmarkEnd w:id="70"/>
      <w:bookmarkEnd w:id="71"/>
    </w:p>
    <w:p>
      <w:pPr>
        <w:ind w:firstLine="643" w:firstLineChars="200"/>
        <w:jc w:val="left"/>
        <w:outlineLvl w:val="1"/>
        <w:rPr>
          <w:rFonts w:ascii="仿宋_GB2312" w:eastAsia="仿宋_GB2312"/>
          <w:b/>
          <w:sz w:val="32"/>
          <w:szCs w:val="32"/>
        </w:rPr>
      </w:pPr>
      <w:bookmarkStart w:id="72" w:name="_Toc68980553"/>
      <w:bookmarkStart w:id="73" w:name="_Toc69259747"/>
      <w:r>
        <w:rPr>
          <w:rFonts w:hint="eastAsia" w:ascii="仿宋_GB2312" w:eastAsia="仿宋_GB2312"/>
          <w:b/>
          <w:sz w:val="32"/>
          <w:szCs w:val="32"/>
        </w:rPr>
        <w:t>（一）强化政府主责</w:t>
      </w:r>
      <w:bookmarkEnd w:id="72"/>
      <w:bookmarkEnd w:id="73"/>
    </w:p>
    <w:p>
      <w:pPr>
        <w:ind w:firstLine="643" w:firstLineChars="200"/>
        <w:rPr>
          <w:rFonts w:ascii="仿宋_GB2312" w:eastAsia="仿宋_GB2312"/>
          <w:sz w:val="32"/>
          <w:szCs w:val="32"/>
        </w:rPr>
      </w:pPr>
      <w:r>
        <w:rPr>
          <w:rFonts w:hint="eastAsia" w:ascii="仿宋_GB2312" w:eastAsia="仿宋_GB2312" w:hAnsiTheme="minorEastAsia"/>
          <w:b/>
          <w:sz w:val="32"/>
          <w:szCs w:val="32"/>
        </w:rPr>
        <w:t>强化政府兜底作用。</w:t>
      </w:r>
      <w:r>
        <w:rPr>
          <w:rFonts w:hint="eastAsia" w:ascii="仿宋_GB2312" w:eastAsia="仿宋_GB2312"/>
          <w:sz w:val="32"/>
          <w:szCs w:val="32"/>
        </w:rPr>
        <w:t>各级政府要将社会发展作为政府施政决策的出发点和落脚点，强化其在发展社会民生事业中的主导地位，切实履行社会管理和公共服务职能。划清各级政府之间的社会事业管理责权，对全市有重大影响或跨区域的公共产品由市政府提供，区域性的公共产品由县（市、区）政府、镇（街道）提供，着力解决好不同层级政府社会事业职责不清、重复配置资源的问题。</w:t>
      </w:r>
    </w:p>
    <w:p>
      <w:pPr>
        <w:ind w:firstLine="643" w:firstLineChars="200"/>
        <w:rPr>
          <w:rFonts w:ascii="仿宋_GB2312" w:eastAsia="仿宋_GB2312"/>
          <w:sz w:val="32"/>
          <w:szCs w:val="32"/>
        </w:rPr>
      </w:pPr>
      <w:r>
        <w:rPr>
          <w:rFonts w:hint="eastAsia" w:ascii="仿宋_GB2312" w:eastAsia="仿宋_GB2312" w:hAnsiTheme="minorEastAsia"/>
          <w:b/>
          <w:sz w:val="32"/>
          <w:szCs w:val="32"/>
        </w:rPr>
        <w:t>健全工作协调机制。</w:t>
      </w:r>
      <w:r>
        <w:rPr>
          <w:rFonts w:hint="eastAsia" w:ascii="仿宋_GB2312" w:eastAsia="仿宋_GB2312"/>
          <w:sz w:val="32"/>
          <w:szCs w:val="32"/>
        </w:rPr>
        <w:t>着力加强对社会事业和公共服务的组织领导，加强发展改革、卫生健康、人力社保、文广旅体、农业农村、应急管理、住建、教育、医保、民政、财政等政府职能部门之间的配合协调，建立健全统筹解决社会民生事业发展的长效机制，形成综合部门统筹协调、行业管理部门分工协作，财政有力保障的社会民生事业综合协调机制。</w:t>
      </w:r>
    </w:p>
    <w:p>
      <w:pPr>
        <w:ind w:firstLine="636" w:firstLineChars="198"/>
        <w:rPr>
          <w:rFonts w:ascii="仿宋_GB2312" w:eastAsia="仿宋_GB2312"/>
          <w:sz w:val="32"/>
          <w:szCs w:val="32"/>
        </w:rPr>
      </w:pPr>
      <w:r>
        <w:rPr>
          <w:rFonts w:hint="eastAsia" w:ascii="仿宋_GB2312" w:eastAsia="仿宋_GB2312" w:hAnsiTheme="minorEastAsia"/>
          <w:b/>
          <w:sz w:val="32"/>
          <w:szCs w:val="32"/>
        </w:rPr>
        <w:t>完善规划实施推进机制。</w:t>
      </w:r>
      <w:r>
        <w:rPr>
          <w:rFonts w:hint="eastAsia" w:ascii="仿宋_GB2312" w:eastAsia="仿宋_GB2312"/>
          <w:sz w:val="32"/>
          <w:szCs w:val="32"/>
        </w:rPr>
        <w:t>建立完善社会发展综合评价体系，对社会发展各领域指标进行量化分析研究，科学动态评价社会发展水平。围绕规划提出的主要目标、重点任务和政策措施，组织开展规划实施评估，全面分析检查规划实施效果及各项政策措施落实情况，推动规划有效实施，并为动态调整和修订规划提供依据。</w:t>
      </w:r>
    </w:p>
    <w:p>
      <w:pPr>
        <w:ind w:firstLine="643" w:firstLineChars="200"/>
        <w:jc w:val="left"/>
        <w:outlineLvl w:val="1"/>
        <w:rPr>
          <w:rFonts w:ascii="仿宋_GB2312" w:eastAsia="仿宋_GB2312"/>
          <w:b/>
          <w:sz w:val="32"/>
          <w:szCs w:val="32"/>
        </w:rPr>
      </w:pPr>
      <w:bookmarkStart w:id="74" w:name="_Toc68980554"/>
      <w:bookmarkStart w:id="75" w:name="_Toc69259748"/>
      <w:r>
        <w:rPr>
          <w:rFonts w:hint="eastAsia" w:ascii="仿宋_GB2312" w:eastAsia="仿宋_GB2312"/>
          <w:b/>
          <w:sz w:val="32"/>
          <w:szCs w:val="32"/>
        </w:rPr>
        <w:t>（二）加大要素保障</w:t>
      </w:r>
      <w:bookmarkEnd w:id="74"/>
      <w:bookmarkEnd w:id="75"/>
    </w:p>
    <w:p>
      <w:pPr>
        <w:ind w:firstLine="636" w:firstLineChars="198"/>
        <w:rPr>
          <w:rFonts w:ascii="仿宋_GB2312" w:eastAsia="仿宋_GB2312"/>
          <w:sz w:val="32"/>
          <w:szCs w:val="32"/>
        </w:rPr>
      </w:pPr>
      <w:r>
        <w:rPr>
          <w:rFonts w:hint="eastAsia" w:ascii="仿宋_GB2312" w:eastAsia="仿宋_GB2312"/>
          <w:b/>
          <w:sz w:val="32"/>
          <w:szCs w:val="32"/>
        </w:rPr>
        <w:t>加强资金综合投入。</w:t>
      </w:r>
      <w:r>
        <w:rPr>
          <w:rFonts w:hint="eastAsia" w:ascii="仿宋_GB2312" w:eastAsia="仿宋_GB2312"/>
          <w:sz w:val="32"/>
          <w:szCs w:val="32"/>
        </w:rPr>
        <w:t>建立健全与公共财政体制相适应的经费增长机制，保证社会民生事业经费的逐年增长。整合现有各类社会民生事业产业扶持资金，增强导向作用，提高财政投入的使用效益。深化社会民生事业领域投融资体制改革，进一步放开社会民生事业市场准入门槛，引导民间资本参与。鼓励社会民生事业建立投资公司和利用资本市场融资，盘活存量资产筹措建设资金。</w:t>
      </w:r>
    </w:p>
    <w:p>
      <w:pPr>
        <w:ind w:firstLine="643" w:firstLineChars="200"/>
        <w:rPr>
          <w:rFonts w:ascii="仿宋_GB2312" w:eastAsia="仿宋_GB2312"/>
          <w:sz w:val="32"/>
          <w:szCs w:val="32"/>
        </w:rPr>
      </w:pPr>
      <w:r>
        <w:rPr>
          <w:rFonts w:hint="eastAsia" w:ascii="仿宋_GB2312" w:eastAsia="仿宋_GB2312"/>
          <w:b/>
          <w:sz w:val="32"/>
          <w:szCs w:val="32"/>
        </w:rPr>
        <w:t>加强土地供应保障。</w:t>
      </w:r>
      <w:r>
        <w:rPr>
          <w:rFonts w:hint="eastAsia" w:ascii="仿宋_GB2312" w:eastAsia="仿宋_GB2312"/>
          <w:sz w:val="32"/>
          <w:szCs w:val="32"/>
        </w:rPr>
        <w:t>强化社会民生事业各专项规划与城市土地利用规划的有效衔接，将社会民生事业基础设施建设用地纳入全市总体规划和城乡建设总体规划，优先保障民生工程项目建设用地。盘活</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批而未用</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置换出</w:t>
      </w:r>
      <w:r>
        <w:rPr>
          <w:rFonts w:hint="eastAsia" w:ascii="仿宋_GB2312" w:eastAsia="仿宋_GB2312"/>
          <w:sz w:val="32"/>
          <w:szCs w:val="32"/>
        </w:rPr>
        <w:t>来的建设用地和城乡建设用地增减挂钩的节余部分优先用于社会项目。加强社会民生事业项目用地稽察，促进项目顺利实施落地。</w:t>
      </w:r>
    </w:p>
    <w:p>
      <w:pPr>
        <w:ind w:firstLine="643" w:firstLineChars="200"/>
        <w:rPr>
          <w:rFonts w:ascii="仿宋_GB2312" w:eastAsia="仿宋_GB2312"/>
          <w:sz w:val="32"/>
          <w:szCs w:val="32"/>
        </w:rPr>
      </w:pPr>
      <w:r>
        <w:rPr>
          <w:rFonts w:hint="eastAsia" w:ascii="仿宋_GB2312" w:eastAsia="仿宋_GB2312"/>
          <w:b/>
          <w:sz w:val="32"/>
          <w:szCs w:val="32"/>
        </w:rPr>
        <w:t>加强人才队伍建设。</w:t>
      </w:r>
      <w:r>
        <w:rPr>
          <w:rFonts w:hint="eastAsia" w:ascii="仿宋_GB2312" w:eastAsia="仿宋_GB2312"/>
          <w:sz w:val="32"/>
          <w:szCs w:val="32"/>
        </w:rPr>
        <w:t>迭代升级台州社会事业人才发展三十条，加大社会事业人才培养、引进和激励力度。依托国家、省</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千人计划</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、台州市</w:t>
      </w:r>
      <w:r>
        <w:rPr>
          <w:rFonts w:hint="eastAsia" w:ascii="仿宋_GB2312" w:hAnsi="Times New Roman" w:eastAsia="仿宋_GB2312" w:cs="Times New Roman"/>
          <w:sz w:val="32"/>
          <w:szCs w:val="32"/>
        </w:rPr>
        <w:t>“500</w:t>
      </w:r>
      <w:r>
        <w:rPr>
          <w:rFonts w:hint="eastAsia" w:ascii="仿宋_GB2312" w:eastAsia="仿宋_GB2312" w:cs="Times New Roman"/>
          <w:sz w:val="32"/>
          <w:szCs w:val="32"/>
        </w:rPr>
        <w:t>精英计划</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等引智</w:t>
      </w:r>
      <w:r>
        <w:rPr>
          <w:rFonts w:hint="eastAsia" w:ascii="仿宋_GB2312" w:eastAsia="仿宋_GB2312"/>
          <w:sz w:val="32"/>
          <w:szCs w:val="32"/>
        </w:rPr>
        <w:t>工程，加大高层次社会人才引进力度。采取委托研究，项目合作，技术服务，短期聘用等方式，加大柔性引才力度。改革和完善社会领域专业技术人才评聘管理制度，建立人才流通体制，培育完善人才市场。</w:t>
      </w:r>
    </w:p>
    <w:p>
      <w:pPr>
        <w:ind w:firstLine="643" w:firstLineChars="200"/>
        <w:jc w:val="left"/>
        <w:outlineLvl w:val="1"/>
        <w:rPr>
          <w:rFonts w:ascii="仿宋_GB2312" w:eastAsia="仿宋_GB2312"/>
          <w:b/>
          <w:sz w:val="32"/>
          <w:szCs w:val="32"/>
        </w:rPr>
      </w:pPr>
      <w:bookmarkStart w:id="76" w:name="_Toc68980555"/>
      <w:bookmarkStart w:id="77" w:name="_Toc69259749"/>
      <w:r>
        <w:rPr>
          <w:rFonts w:hint="eastAsia" w:ascii="仿宋_GB2312" w:eastAsia="仿宋_GB2312"/>
          <w:b/>
          <w:sz w:val="32"/>
          <w:szCs w:val="32"/>
        </w:rPr>
        <w:t>（三）推进项目建设</w:t>
      </w:r>
      <w:bookmarkEnd w:id="76"/>
      <w:bookmarkEnd w:id="77"/>
    </w:p>
    <w:p>
      <w:pPr>
        <w:ind w:firstLine="640" w:firstLineChars="200"/>
        <w:rPr>
          <w:rFonts w:ascii="仿宋_GB2312" w:hAnsi="Times New Roman" w:eastAsia="仿宋_GB2312" w:cs="Times New Roman"/>
          <w:sz w:val="32"/>
          <w:szCs w:val="32"/>
        </w:rPr>
      </w:pPr>
      <w:r>
        <w:rPr>
          <w:rFonts w:hint="eastAsia" w:ascii="仿宋_GB2312" w:eastAsia="仿宋_GB2312"/>
          <w:sz w:val="32"/>
          <w:szCs w:val="32"/>
        </w:rPr>
        <w:t>加强项目谋划，争取更多项目列入省重大项目库。以重大项目建设作为规划实施的工作载体和重要支撑，进一步完善重大项目储备库，滚动推</w:t>
      </w:r>
      <w:r>
        <w:rPr>
          <w:rFonts w:hint="eastAsia" w:ascii="仿宋_GB2312" w:eastAsia="仿宋_GB2312" w:cs="Times New Roman"/>
          <w:sz w:val="32"/>
          <w:szCs w:val="32"/>
        </w:rPr>
        <w:t>出一批</w:t>
      </w:r>
      <w:r>
        <w:rPr>
          <w:rFonts w:hint="eastAsia" w:ascii="仿宋_GB2312" w:hAnsi="Times New Roman" w:eastAsia="仿宋_GB2312" w:cs="Times New Roman"/>
          <w:sz w:val="32"/>
          <w:szCs w:val="32"/>
        </w:rPr>
        <w:t>PPP</w:t>
      </w:r>
      <w:r>
        <w:rPr>
          <w:rFonts w:hint="eastAsia" w:ascii="仿宋_GB2312" w:eastAsia="仿宋_GB2312" w:cs="Times New Roman"/>
          <w:sz w:val="32"/>
          <w:szCs w:val="32"/>
        </w:rPr>
        <w:t>示范项</w:t>
      </w:r>
      <w:r>
        <w:rPr>
          <w:rFonts w:hint="eastAsia" w:ascii="仿宋_GB2312" w:eastAsia="仿宋_GB2312"/>
          <w:sz w:val="32"/>
          <w:szCs w:val="32"/>
        </w:rPr>
        <w:t>目，集中力量推进实施一批重大社会项目建设。优化项目推进机制做好项目前期和组织领导，优化项目审批机制，强化项目管理，科学编制和有效执行投资计划</w:t>
      </w:r>
      <w:r>
        <w:rPr>
          <w:rFonts w:hint="eastAsia" w:ascii="仿宋_GB2312" w:eastAsia="仿宋_GB2312" w:cs="Times New Roman"/>
          <w:sz w:val="32"/>
          <w:szCs w:val="32"/>
        </w:rPr>
        <w:t>，为</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十四五</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社会领域提速发展提供强力保障。</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十</w:t>
      </w:r>
      <w:r>
        <w:rPr>
          <w:rFonts w:hint="eastAsia" w:ascii="仿宋_GB2312" w:eastAsia="仿宋_GB2312" w:cs="Times New Roman"/>
          <w:sz w:val="32"/>
          <w:szCs w:val="32"/>
          <w:lang w:eastAsia="zh-CN"/>
        </w:rPr>
        <w:t>四</w:t>
      </w:r>
      <w:r>
        <w:rPr>
          <w:rFonts w:hint="eastAsia" w:ascii="仿宋_GB2312" w:eastAsia="仿宋_GB2312" w:cs="Times New Roman"/>
          <w:sz w:val="32"/>
          <w:szCs w:val="32"/>
        </w:rPr>
        <w:t>五</w:t>
      </w:r>
      <w:r>
        <w:rPr>
          <w:rFonts w:hint="eastAsia" w:ascii="仿宋_GB2312" w:hAnsi="Times New Roman" w:eastAsia="仿宋_GB2312" w:cs="Times New Roman"/>
          <w:sz w:val="32"/>
          <w:szCs w:val="32"/>
        </w:rPr>
        <w:t>”</w:t>
      </w:r>
      <w:r>
        <w:rPr>
          <w:rFonts w:hint="eastAsia" w:ascii="仿宋_GB2312" w:eastAsia="仿宋_GB2312" w:cs="Times New Roman"/>
          <w:sz w:val="32"/>
          <w:szCs w:val="32"/>
        </w:rPr>
        <w:t>时期，我市拟安排实施重大社会项目共计**个，项目计划总投资**亿元。</w:t>
      </w:r>
    </w:p>
    <w:p>
      <w:pPr>
        <w:ind w:firstLine="643" w:firstLineChars="200"/>
        <w:jc w:val="left"/>
        <w:outlineLvl w:val="1"/>
        <w:rPr>
          <w:rFonts w:ascii="仿宋_GB2312" w:eastAsia="仿宋_GB2312"/>
          <w:b/>
          <w:sz w:val="32"/>
          <w:szCs w:val="32"/>
        </w:rPr>
      </w:pPr>
      <w:bookmarkStart w:id="78" w:name="_Toc68980556"/>
      <w:bookmarkStart w:id="79" w:name="_Toc69259750"/>
      <w:r>
        <w:rPr>
          <w:rFonts w:hint="eastAsia" w:ascii="仿宋_GB2312" w:eastAsia="仿宋_GB2312"/>
          <w:b/>
          <w:sz w:val="32"/>
          <w:szCs w:val="32"/>
        </w:rPr>
        <w:t>（四）加强评估考核</w:t>
      </w:r>
      <w:bookmarkEnd w:id="78"/>
      <w:bookmarkEnd w:id="79"/>
    </w:p>
    <w:p>
      <w:pPr>
        <w:ind w:firstLine="643" w:firstLineChars="200"/>
        <w:jc w:val="left"/>
        <w:rPr>
          <w:rFonts w:ascii="仿宋_GB2312" w:eastAsia="仿宋_GB2312"/>
          <w:sz w:val="32"/>
          <w:szCs w:val="32"/>
        </w:rPr>
      </w:pPr>
      <w:r>
        <w:rPr>
          <w:rFonts w:hint="eastAsia" w:ascii="仿宋_GB2312" w:eastAsia="仿宋_GB2312" w:hAnsiTheme="minorEastAsia"/>
          <w:b/>
          <w:sz w:val="32"/>
          <w:szCs w:val="32"/>
        </w:rPr>
        <w:t>强化绩效考核评价。</w:t>
      </w:r>
      <w:r>
        <w:rPr>
          <w:rFonts w:hint="eastAsia" w:ascii="仿宋_GB2312" w:eastAsia="仿宋_GB2312"/>
          <w:sz w:val="32"/>
          <w:szCs w:val="32"/>
        </w:rPr>
        <w:t>建立健全社会民生事业发展工作责任制和目标考核机制，将社会民生事业发展工作纳入政府及有关部门目标责任考核，严格落实督查督办制度。制定年度工作计划，明确责任主体，逐年落实规划提出的主要目标、重点任务和政策措施，确保各项工作落实到位，推动社会事业更好更快地发展。</w:t>
      </w:r>
    </w:p>
    <w:p>
      <w:pPr>
        <w:ind w:firstLine="643" w:firstLineChars="200"/>
        <w:jc w:val="left"/>
        <w:rPr>
          <w:rFonts w:hint="eastAsia" w:ascii="仿宋_GB2312" w:eastAsia="仿宋_GB2312"/>
          <w:sz w:val="32"/>
          <w:szCs w:val="32"/>
        </w:rPr>
      </w:pPr>
      <w:r>
        <w:rPr>
          <w:rFonts w:hint="eastAsia" w:ascii="仿宋_GB2312" w:eastAsia="仿宋_GB2312"/>
          <w:b/>
          <w:sz w:val="32"/>
          <w:szCs w:val="32"/>
        </w:rPr>
        <w:t>鼓励社会公众监督参与。</w:t>
      </w:r>
      <w:r>
        <w:rPr>
          <w:rFonts w:hint="eastAsia" w:ascii="仿宋_GB2312" w:eastAsia="仿宋_GB2312"/>
          <w:sz w:val="32"/>
          <w:szCs w:val="32"/>
        </w:rPr>
        <w:t>建立社会各界广泛参与社会民生事业发展的机制，扩大社会管理的参与度。建立健全社会利益协调机制和重大决策听证、信访、社会舆情收集分析等制度，</w:t>
      </w:r>
      <w:r>
        <w:rPr>
          <w:rFonts w:hint="eastAsia" w:ascii="仿宋_GB2312" w:hAnsi="Calibri" w:eastAsia="仿宋_GB2312" w:cs="Times New Roman"/>
          <w:sz w:val="32"/>
          <w:szCs w:val="32"/>
        </w:rPr>
        <w:t>建立政府和公众双向信息反馈机制，自觉主动接受社会监督。</w:t>
      </w:r>
      <w:r>
        <w:rPr>
          <w:rFonts w:hint="eastAsia" w:ascii="仿宋_GB2312" w:eastAsia="仿宋_GB2312"/>
          <w:sz w:val="32"/>
          <w:szCs w:val="32"/>
        </w:rPr>
        <w:t>培育公益性民间组织、志愿团体等，加强社会各界融合，充分发挥群众性组织解决社会问题的作用。</w:t>
      </w:r>
    </w:p>
    <w:p>
      <w:pPr>
        <w:jc w:val="left"/>
        <w:rPr>
          <w:rFonts w:hint="eastAsia" w:ascii="仿宋_GB2312" w:eastAsia="仿宋_GB2312"/>
          <w:sz w:val="32"/>
          <w:szCs w:val="32"/>
          <w:lang w:eastAsia="zh-CN"/>
        </w:rPr>
      </w:pPr>
      <w:bookmarkStart w:id="80" w:name="_GoBack"/>
      <w:bookmarkEnd w:id="80"/>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6163046"/>
      <w:docPartObj>
        <w:docPartGallery w:val="autotext"/>
      </w:docPartObj>
    </w:sdtPr>
    <w:sdtContent>
      <w:p>
        <w:pPr>
          <w:pStyle w:val="9"/>
          <w:jc w:val="center"/>
        </w:pPr>
        <w:r>
          <w:fldChar w:fldCharType="begin"/>
        </w:r>
        <w:r>
          <w:instrText xml:space="preserve"> PAGE   \* MERGEFORMAT </w:instrText>
        </w:r>
        <w:r>
          <w:fldChar w:fldCharType="separate"/>
        </w:r>
        <w:r>
          <w:rPr>
            <w:lang w:val="zh-CN"/>
          </w:rPr>
          <w:t>48</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A001F2"/>
    <w:multiLevelType w:val="multilevel"/>
    <w:tmpl w:val="61A001F2"/>
    <w:lvl w:ilvl="0" w:tentative="0">
      <w:start w:val="1"/>
      <w:numFmt w:val="decimal"/>
      <w:lvlText w:val="%1"/>
      <w:lvlJc w:val="left"/>
      <w:pPr>
        <w:tabs>
          <w:tab w:val="left" w:pos="600"/>
        </w:tabs>
        <w:ind w:left="600" w:hanging="420"/>
      </w:pPr>
      <w:rPr>
        <w:rFonts w:hint="eastAsia" w:cs="Times New Roman"/>
      </w:rPr>
    </w:lvl>
    <w:lvl w:ilvl="1" w:tentative="0">
      <w:start w:val="1"/>
      <w:numFmt w:val="lowerLetter"/>
      <w:lvlText w:val="%2)"/>
      <w:lvlJc w:val="left"/>
      <w:pPr>
        <w:tabs>
          <w:tab w:val="left" w:pos="1020"/>
        </w:tabs>
        <w:ind w:left="1020" w:hanging="420"/>
      </w:pPr>
      <w:rPr>
        <w:rFonts w:cs="Times New Roman"/>
      </w:rPr>
    </w:lvl>
    <w:lvl w:ilvl="2" w:tentative="0">
      <w:start w:val="1"/>
      <w:numFmt w:val="lowerRoman"/>
      <w:lvlText w:val="%3."/>
      <w:lvlJc w:val="right"/>
      <w:pPr>
        <w:tabs>
          <w:tab w:val="left" w:pos="1440"/>
        </w:tabs>
        <w:ind w:left="1440" w:hanging="420"/>
      </w:pPr>
      <w:rPr>
        <w:rFonts w:cs="Times New Roman"/>
      </w:rPr>
    </w:lvl>
    <w:lvl w:ilvl="3" w:tentative="0">
      <w:start w:val="1"/>
      <w:numFmt w:val="decimal"/>
      <w:lvlText w:val="%4."/>
      <w:lvlJc w:val="left"/>
      <w:pPr>
        <w:tabs>
          <w:tab w:val="left" w:pos="1860"/>
        </w:tabs>
        <w:ind w:left="1860" w:hanging="420"/>
      </w:pPr>
      <w:rPr>
        <w:rFonts w:cs="Times New Roman"/>
      </w:rPr>
    </w:lvl>
    <w:lvl w:ilvl="4" w:tentative="0">
      <w:start w:val="1"/>
      <w:numFmt w:val="lowerLetter"/>
      <w:lvlText w:val="%5)"/>
      <w:lvlJc w:val="left"/>
      <w:pPr>
        <w:tabs>
          <w:tab w:val="left" w:pos="2280"/>
        </w:tabs>
        <w:ind w:left="2280" w:hanging="420"/>
      </w:pPr>
      <w:rPr>
        <w:rFonts w:cs="Times New Roman"/>
      </w:rPr>
    </w:lvl>
    <w:lvl w:ilvl="5" w:tentative="0">
      <w:start w:val="1"/>
      <w:numFmt w:val="lowerRoman"/>
      <w:lvlText w:val="%6."/>
      <w:lvlJc w:val="right"/>
      <w:pPr>
        <w:tabs>
          <w:tab w:val="left" w:pos="2700"/>
        </w:tabs>
        <w:ind w:left="2700" w:hanging="420"/>
      </w:pPr>
      <w:rPr>
        <w:rFonts w:cs="Times New Roman"/>
      </w:rPr>
    </w:lvl>
    <w:lvl w:ilvl="6" w:tentative="0">
      <w:start w:val="1"/>
      <w:numFmt w:val="decimal"/>
      <w:lvlText w:val="%7."/>
      <w:lvlJc w:val="left"/>
      <w:pPr>
        <w:tabs>
          <w:tab w:val="left" w:pos="3120"/>
        </w:tabs>
        <w:ind w:left="3120" w:hanging="420"/>
      </w:pPr>
      <w:rPr>
        <w:rFonts w:cs="Times New Roman"/>
      </w:rPr>
    </w:lvl>
    <w:lvl w:ilvl="7" w:tentative="0">
      <w:start w:val="1"/>
      <w:numFmt w:val="lowerLetter"/>
      <w:lvlText w:val="%8)"/>
      <w:lvlJc w:val="left"/>
      <w:pPr>
        <w:tabs>
          <w:tab w:val="left" w:pos="3540"/>
        </w:tabs>
        <w:ind w:left="3540" w:hanging="420"/>
      </w:pPr>
      <w:rPr>
        <w:rFonts w:cs="Times New Roman"/>
      </w:rPr>
    </w:lvl>
    <w:lvl w:ilvl="8" w:tentative="0">
      <w:start w:val="1"/>
      <w:numFmt w:val="lowerRoman"/>
      <w:lvlText w:val="%9."/>
      <w:lvlJc w:val="right"/>
      <w:pPr>
        <w:tabs>
          <w:tab w:val="left" w:pos="3960"/>
        </w:tabs>
        <w:ind w:left="39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BB"/>
    <w:rsid w:val="000132C8"/>
    <w:rsid w:val="00014865"/>
    <w:rsid w:val="000177FB"/>
    <w:rsid w:val="00017B8F"/>
    <w:rsid w:val="0002426D"/>
    <w:rsid w:val="00034F44"/>
    <w:rsid w:val="0003578E"/>
    <w:rsid w:val="00040D1F"/>
    <w:rsid w:val="000426BB"/>
    <w:rsid w:val="00046CC8"/>
    <w:rsid w:val="00050527"/>
    <w:rsid w:val="0005345E"/>
    <w:rsid w:val="00053FC5"/>
    <w:rsid w:val="00061BFB"/>
    <w:rsid w:val="00064F10"/>
    <w:rsid w:val="000751A6"/>
    <w:rsid w:val="00087D67"/>
    <w:rsid w:val="00090231"/>
    <w:rsid w:val="000A2956"/>
    <w:rsid w:val="000A7A86"/>
    <w:rsid w:val="000C1659"/>
    <w:rsid w:val="000C30FF"/>
    <w:rsid w:val="000C7115"/>
    <w:rsid w:val="000D08EA"/>
    <w:rsid w:val="000D24D2"/>
    <w:rsid w:val="000D3F87"/>
    <w:rsid w:val="000D5363"/>
    <w:rsid w:val="000D6053"/>
    <w:rsid w:val="000D6B33"/>
    <w:rsid w:val="000E1BB2"/>
    <w:rsid w:val="000E7DA4"/>
    <w:rsid w:val="000F426B"/>
    <w:rsid w:val="001069A0"/>
    <w:rsid w:val="00116FDF"/>
    <w:rsid w:val="0012700D"/>
    <w:rsid w:val="00132547"/>
    <w:rsid w:val="001437E7"/>
    <w:rsid w:val="00143C44"/>
    <w:rsid w:val="0015132F"/>
    <w:rsid w:val="00151D62"/>
    <w:rsid w:val="001553ED"/>
    <w:rsid w:val="001571E0"/>
    <w:rsid w:val="00157300"/>
    <w:rsid w:val="00163588"/>
    <w:rsid w:val="001646FF"/>
    <w:rsid w:val="00164BE0"/>
    <w:rsid w:val="00165A83"/>
    <w:rsid w:val="001738D8"/>
    <w:rsid w:val="00177869"/>
    <w:rsid w:val="0018378F"/>
    <w:rsid w:val="00185308"/>
    <w:rsid w:val="00185348"/>
    <w:rsid w:val="001863C5"/>
    <w:rsid w:val="001950C5"/>
    <w:rsid w:val="0019537B"/>
    <w:rsid w:val="001A1445"/>
    <w:rsid w:val="001A2E81"/>
    <w:rsid w:val="001A3675"/>
    <w:rsid w:val="001A65BD"/>
    <w:rsid w:val="001A7951"/>
    <w:rsid w:val="001B4EE0"/>
    <w:rsid w:val="001D5285"/>
    <w:rsid w:val="001E150B"/>
    <w:rsid w:val="001E281C"/>
    <w:rsid w:val="001E4CE3"/>
    <w:rsid w:val="001F0DB9"/>
    <w:rsid w:val="001F16D5"/>
    <w:rsid w:val="001F4B24"/>
    <w:rsid w:val="001F50C1"/>
    <w:rsid w:val="00211AE0"/>
    <w:rsid w:val="00212344"/>
    <w:rsid w:val="0021378F"/>
    <w:rsid w:val="00214DCD"/>
    <w:rsid w:val="00216B28"/>
    <w:rsid w:val="00224240"/>
    <w:rsid w:val="002341F7"/>
    <w:rsid w:val="00234234"/>
    <w:rsid w:val="002516D2"/>
    <w:rsid w:val="00256E15"/>
    <w:rsid w:val="00275B21"/>
    <w:rsid w:val="00277FE7"/>
    <w:rsid w:val="0028468E"/>
    <w:rsid w:val="002847DC"/>
    <w:rsid w:val="002A1DA6"/>
    <w:rsid w:val="002B3897"/>
    <w:rsid w:val="002B73DD"/>
    <w:rsid w:val="002D2A88"/>
    <w:rsid w:val="002D6D6A"/>
    <w:rsid w:val="002E11EC"/>
    <w:rsid w:val="002E5EFC"/>
    <w:rsid w:val="002E6A21"/>
    <w:rsid w:val="002F7427"/>
    <w:rsid w:val="00301691"/>
    <w:rsid w:val="0030566C"/>
    <w:rsid w:val="0030639A"/>
    <w:rsid w:val="003128B8"/>
    <w:rsid w:val="00317DCC"/>
    <w:rsid w:val="00320836"/>
    <w:rsid w:val="003236CB"/>
    <w:rsid w:val="003236FC"/>
    <w:rsid w:val="00331CED"/>
    <w:rsid w:val="0033382D"/>
    <w:rsid w:val="00341AB0"/>
    <w:rsid w:val="003600E0"/>
    <w:rsid w:val="0036174C"/>
    <w:rsid w:val="00364224"/>
    <w:rsid w:val="003657D4"/>
    <w:rsid w:val="003666D2"/>
    <w:rsid w:val="00366A7B"/>
    <w:rsid w:val="00367A8C"/>
    <w:rsid w:val="003808EA"/>
    <w:rsid w:val="00384502"/>
    <w:rsid w:val="00384968"/>
    <w:rsid w:val="00390F74"/>
    <w:rsid w:val="00392A34"/>
    <w:rsid w:val="003A16BB"/>
    <w:rsid w:val="003A1745"/>
    <w:rsid w:val="003C4408"/>
    <w:rsid w:val="003C4481"/>
    <w:rsid w:val="003D1A76"/>
    <w:rsid w:val="003D47CE"/>
    <w:rsid w:val="003D4C11"/>
    <w:rsid w:val="003E4C62"/>
    <w:rsid w:val="003E6427"/>
    <w:rsid w:val="003E68BD"/>
    <w:rsid w:val="003F3972"/>
    <w:rsid w:val="003F52BC"/>
    <w:rsid w:val="00417F30"/>
    <w:rsid w:val="00421F00"/>
    <w:rsid w:val="00426BF9"/>
    <w:rsid w:val="004302DF"/>
    <w:rsid w:val="004333B5"/>
    <w:rsid w:val="004348A5"/>
    <w:rsid w:val="00434A6C"/>
    <w:rsid w:val="0043675A"/>
    <w:rsid w:val="00440610"/>
    <w:rsid w:val="0045055A"/>
    <w:rsid w:val="00452905"/>
    <w:rsid w:val="00465C6A"/>
    <w:rsid w:val="0048257B"/>
    <w:rsid w:val="004904A8"/>
    <w:rsid w:val="004929F5"/>
    <w:rsid w:val="004A25E3"/>
    <w:rsid w:val="004A52C7"/>
    <w:rsid w:val="004B0982"/>
    <w:rsid w:val="004B11EB"/>
    <w:rsid w:val="004B5B65"/>
    <w:rsid w:val="004C093B"/>
    <w:rsid w:val="004C2FE6"/>
    <w:rsid w:val="004E3D2B"/>
    <w:rsid w:val="004F199C"/>
    <w:rsid w:val="004F1DE2"/>
    <w:rsid w:val="004F6AF7"/>
    <w:rsid w:val="0050190B"/>
    <w:rsid w:val="0050632F"/>
    <w:rsid w:val="0050682A"/>
    <w:rsid w:val="00506A31"/>
    <w:rsid w:val="00506F43"/>
    <w:rsid w:val="00507222"/>
    <w:rsid w:val="00511045"/>
    <w:rsid w:val="00515B46"/>
    <w:rsid w:val="00523A03"/>
    <w:rsid w:val="00523FF8"/>
    <w:rsid w:val="005254A3"/>
    <w:rsid w:val="00527999"/>
    <w:rsid w:val="005322DD"/>
    <w:rsid w:val="00551153"/>
    <w:rsid w:val="00560839"/>
    <w:rsid w:val="0056300C"/>
    <w:rsid w:val="00567387"/>
    <w:rsid w:val="00573AD9"/>
    <w:rsid w:val="00582495"/>
    <w:rsid w:val="00585C2C"/>
    <w:rsid w:val="00595777"/>
    <w:rsid w:val="005A0B5D"/>
    <w:rsid w:val="005A2CED"/>
    <w:rsid w:val="005B0A0A"/>
    <w:rsid w:val="005B33B4"/>
    <w:rsid w:val="005B3995"/>
    <w:rsid w:val="005C51AC"/>
    <w:rsid w:val="005C6564"/>
    <w:rsid w:val="005D30F5"/>
    <w:rsid w:val="005E1F36"/>
    <w:rsid w:val="005E242E"/>
    <w:rsid w:val="005E3CAB"/>
    <w:rsid w:val="005E45BE"/>
    <w:rsid w:val="005E5816"/>
    <w:rsid w:val="005F0A1B"/>
    <w:rsid w:val="005F1E43"/>
    <w:rsid w:val="005F23C2"/>
    <w:rsid w:val="0060238B"/>
    <w:rsid w:val="00610004"/>
    <w:rsid w:val="006204FC"/>
    <w:rsid w:val="00622784"/>
    <w:rsid w:val="0062780D"/>
    <w:rsid w:val="00630B2F"/>
    <w:rsid w:val="0064225E"/>
    <w:rsid w:val="00645308"/>
    <w:rsid w:val="00653A82"/>
    <w:rsid w:val="00662D16"/>
    <w:rsid w:val="00695302"/>
    <w:rsid w:val="006A2382"/>
    <w:rsid w:val="006A4621"/>
    <w:rsid w:val="006A74C4"/>
    <w:rsid w:val="006B3894"/>
    <w:rsid w:val="006B4FE7"/>
    <w:rsid w:val="006C4014"/>
    <w:rsid w:val="006D16E1"/>
    <w:rsid w:val="006D1C57"/>
    <w:rsid w:val="006D1E93"/>
    <w:rsid w:val="006D7520"/>
    <w:rsid w:val="006E03F1"/>
    <w:rsid w:val="006E199A"/>
    <w:rsid w:val="006F34F1"/>
    <w:rsid w:val="006F67AD"/>
    <w:rsid w:val="006F6BAE"/>
    <w:rsid w:val="0070162E"/>
    <w:rsid w:val="00707020"/>
    <w:rsid w:val="007226FB"/>
    <w:rsid w:val="00730862"/>
    <w:rsid w:val="0074368F"/>
    <w:rsid w:val="00765283"/>
    <w:rsid w:val="00781623"/>
    <w:rsid w:val="00782010"/>
    <w:rsid w:val="00787319"/>
    <w:rsid w:val="007909CA"/>
    <w:rsid w:val="007A4173"/>
    <w:rsid w:val="007A725A"/>
    <w:rsid w:val="007A750C"/>
    <w:rsid w:val="007A79A0"/>
    <w:rsid w:val="007B44BD"/>
    <w:rsid w:val="007C525E"/>
    <w:rsid w:val="007C6A56"/>
    <w:rsid w:val="007D4781"/>
    <w:rsid w:val="007D66AD"/>
    <w:rsid w:val="007E358D"/>
    <w:rsid w:val="007E404E"/>
    <w:rsid w:val="007E5480"/>
    <w:rsid w:val="007F2342"/>
    <w:rsid w:val="007F3C39"/>
    <w:rsid w:val="007F70C6"/>
    <w:rsid w:val="008024C2"/>
    <w:rsid w:val="00805849"/>
    <w:rsid w:val="0081542B"/>
    <w:rsid w:val="00815596"/>
    <w:rsid w:val="0081580C"/>
    <w:rsid w:val="0082262B"/>
    <w:rsid w:val="0084252B"/>
    <w:rsid w:val="008431C6"/>
    <w:rsid w:val="0084368E"/>
    <w:rsid w:val="008545CE"/>
    <w:rsid w:val="00856563"/>
    <w:rsid w:val="00864A60"/>
    <w:rsid w:val="00867B21"/>
    <w:rsid w:val="00870164"/>
    <w:rsid w:val="008719C6"/>
    <w:rsid w:val="00876571"/>
    <w:rsid w:val="008766C5"/>
    <w:rsid w:val="0089081F"/>
    <w:rsid w:val="00892018"/>
    <w:rsid w:val="00897DA0"/>
    <w:rsid w:val="008B288D"/>
    <w:rsid w:val="008B397F"/>
    <w:rsid w:val="008B5D5E"/>
    <w:rsid w:val="008B65C6"/>
    <w:rsid w:val="008C3686"/>
    <w:rsid w:val="008C43C0"/>
    <w:rsid w:val="008C7929"/>
    <w:rsid w:val="008D1E55"/>
    <w:rsid w:val="008D4F65"/>
    <w:rsid w:val="008D6841"/>
    <w:rsid w:val="008D6AD7"/>
    <w:rsid w:val="008E0A32"/>
    <w:rsid w:val="008E1FCE"/>
    <w:rsid w:val="008E31E2"/>
    <w:rsid w:val="008F0BDE"/>
    <w:rsid w:val="008F6C65"/>
    <w:rsid w:val="00900C90"/>
    <w:rsid w:val="00905F3C"/>
    <w:rsid w:val="00916AF8"/>
    <w:rsid w:val="00920F0B"/>
    <w:rsid w:val="00942609"/>
    <w:rsid w:val="00945C16"/>
    <w:rsid w:val="00953C48"/>
    <w:rsid w:val="00953E89"/>
    <w:rsid w:val="00967F7B"/>
    <w:rsid w:val="00973476"/>
    <w:rsid w:val="00973C3B"/>
    <w:rsid w:val="00974597"/>
    <w:rsid w:val="00974A3C"/>
    <w:rsid w:val="009768D1"/>
    <w:rsid w:val="00996589"/>
    <w:rsid w:val="009A59CC"/>
    <w:rsid w:val="009A6C42"/>
    <w:rsid w:val="009B6725"/>
    <w:rsid w:val="009B6BE2"/>
    <w:rsid w:val="009D082E"/>
    <w:rsid w:val="009D16F5"/>
    <w:rsid w:val="009D18C0"/>
    <w:rsid w:val="009D46F5"/>
    <w:rsid w:val="009E51F2"/>
    <w:rsid w:val="009F05D2"/>
    <w:rsid w:val="009F69C5"/>
    <w:rsid w:val="009F7C5C"/>
    <w:rsid w:val="00A00851"/>
    <w:rsid w:val="00A03AEE"/>
    <w:rsid w:val="00A04CBB"/>
    <w:rsid w:val="00A111F4"/>
    <w:rsid w:val="00A122F9"/>
    <w:rsid w:val="00A14911"/>
    <w:rsid w:val="00A16B93"/>
    <w:rsid w:val="00A20AF6"/>
    <w:rsid w:val="00A21BCF"/>
    <w:rsid w:val="00A323B6"/>
    <w:rsid w:val="00A37CC7"/>
    <w:rsid w:val="00A51D32"/>
    <w:rsid w:val="00A5693B"/>
    <w:rsid w:val="00A61FC9"/>
    <w:rsid w:val="00A654E0"/>
    <w:rsid w:val="00A6732C"/>
    <w:rsid w:val="00A72EB2"/>
    <w:rsid w:val="00A83562"/>
    <w:rsid w:val="00A8717D"/>
    <w:rsid w:val="00A91BC0"/>
    <w:rsid w:val="00A92C40"/>
    <w:rsid w:val="00A95635"/>
    <w:rsid w:val="00A96DCC"/>
    <w:rsid w:val="00AA21CB"/>
    <w:rsid w:val="00AB76D5"/>
    <w:rsid w:val="00AC0F01"/>
    <w:rsid w:val="00AD5CC4"/>
    <w:rsid w:val="00AD78EA"/>
    <w:rsid w:val="00AE12E4"/>
    <w:rsid w:val="00AE556F"/>
    <w:rsid w:val="00AF12E7"/>
    <w:rsid w:val="00AF1AA2"/>
    <w:rsid w:val="00B01D8B"/>
    <w:rsid w:val="00B02502"/>
    <w:rsid w:val="00B04BC3"/>
    <w:rsid w:val="00B1654B"/>
    <w:rsid w:val="00B16971"/>
    <w:rsid w:val="00B20D5C"/>
    <w:rsid w:val="00B23EC1"/>
    <w:rsid w:val="00B240A3"/>
    <w:rsid w:val="00B27828"/>
    <w:rsid w:val="00B3005B"/>
    <w:rsid w:val="00B3090D"/>
    <w:rsid w:val="00B339FA"/>
    <w:rsid w:val="00B35D73"/>
    <w:rsid w:val="00B40A61"/>
    <w:rsid w:val="00B546F4"/>
    <w:rsid w:val="00B576EA"/>
    <w:rsid w:val="00B61F6A"/>
    <w:rsid w:val="00B646EB"/>
    <w:rsid w:val="00B714BA"/>
    <w:rsid w:val="00B87F1D"/>
    <w:rsid w:val="00B935FC"/>
    <w:rsid w:val="00B9541A"/>
    <w:rsid w:val="00BA2D6C"/>
    <w:rsid w:val="00BA5453"/>
    <w:rsid w:val="00BB356A"/>
    <w:rsid w:val="00BB446C"/>
    <w:rsid w:val="00BC5771"/>
    <w:rsid w:val="00BC6276"/>
    <w:rsid w:val="00BD3101"/>
    <w:rsid w:val="00BD7911"/>
    <w:rsid w:val="00BE30E9"/>
    <w:rsid w:val="00BE3CAE"/>
    <w:rsid w:val="00BF1DEF"/>
    <w:rsid w:val="00BF624D"/>
    <w:rsid w:val="00C0255A"/>
    <w:rsid w:val="00C12140"/>
    <w:rsid w:val="00C31248"/>
    <w:rsid w:val="00C42BCF"/>
    <w:rsid w:val="00C438FC"/>
    <w:rsid w:val="00C44776"/>
    <w:rsid w:val="00C5012A"/>
    <w:rsid w:val="00C504C1"/>
    <w:rsid w:val="00C55E98"/>
    <w:rsid w:val="00C611E6"/>
    <w:rsid w:val="00C659E0"/>
    <w:rsid w:val="00C6656F"/>
    <w:rsid w:val="00C709A5"/>
    <w:rsid w:val="00C739C1"/>
    <w:rsid w:val="00C73A92"/>
    <w:rsid w:val="00C85253"/>
    <w:rsid w:val="00CA70C3"/>
    <w:rsid w:val="00CB1430"/>
    <w:rsid w:val="00CB1439"/>
    <w:rsid w:val="00CB1A93"/>
    <w:rsid w:val="00CB43A6"/>
    <w:rsid w:val="00CB78A5"/>
    <w:rsid w:val="00CC1FB4"/>
    <w:rsid w:val="00CC2B54"/>
    <w:rsid w:val="00CD575A"/>
    <w:rsid w:val="00CD70DB"/>
    <w:rsid w:val="00CE4508"/>
    <w:rsid w:val="00CF1D88"/>
    <w:rsid w:val="00CF73E0"/>
    <w:rsid w:val="00D034CF"/>
    <w:rsid w:val="00D06855"/>
    <w:rsid w:val="00D24B99"/>
    <w:rsid w:val="00D25AEB"/>
    <w:rsid w:val="00D266DC"/>
    <w:rsid w:val="00D30F68"/>
    <w:rsid w:val="00D31923"/>
    <w:rsid w:val="00D37728"/>
    <w:rsid w:val="00D41845"/>
    <w:rsid w:val="00D42535"/>
    <w:rsid w:val="00D53FFA"/>
    <w:rsid w:val="00D54960"/>
    <w:rsid w:val="00D60ACC"/>
    <w:rsid w:val="00D63343"/>
    <w:rsid w:val="00D67209"/>
    <w:rsid w:val="00D7133B"/>
    <w:rsid w:val="00D74830"/>
    <w:rsid w:val="00D77D16"/>
    <w:rsid w:val="00D800D9"/>
    <w:rsid w:val="00D80F73"/>
    <w:rsid w:val="00D87622"/>
    <w:rsid w:val="00D87CE0"/>
    <w:rsid w:val="00D972EA"/>
    <w:rsid w:val="00DA572F"/>
    <w:rsid w:val="00DB6421"/>
    <w:rsid w:val="00DB6FCB"/>
    <w:rsid w:val="00DB7E54"/>
    <w:rsid w:val="00DC08CB"/>
    <w:rsid w:val="00DC3506"/>
    <w:rsid w:val="00DC7C7D"/>
    <w:rsid w:val="00DD0574"/>
    <w:rsid w:val="00DD22E1"/>
    <w:rsid w:val="00DD2935"/>
    <w:rsid w:val="00DD2C02"/>
    <w:rsid w:val="00DD4089"/>
    <w:rsid w:val="00DD4D04"/>
    <w:rsid w:val="00DD53B1"/>
    <w:rsid w:val="00DF1E28"/>
    <w:rsid w:val="00DF444F"/>
    <w:rsid w:val="00DF6DBD"/>
    <w:rsid w:val="00E111E4"/>
    <w:rsid w:val="00E1226F"/>
    <w:rsid w:val="00E1392A"/>
    <w:rsid w:val="00E17742"/>
    <w:rsid w:val="00E25F00"/>
    <w:rsid w:val="00E30510"/>
    <w:rsid w:val="00E3174C"/>
    <w:rsid w:val="00E40E0B"/>
    <w:rsid w:val="00E43C76"/>
    <w:rsid w:val="00E4640A"/>
    <w:rsid w:val="00E50B19"/>
    <w:rsid w:val="00E6629B"/>
    <w:rsid w:val="00E77261"/>
    <w:rsid w:val="00E8311F"/>
    <w:rsid w:val="00E87268"/>
    <w:rsid w:val="00E91EB1"/>
    <w:rsid w:val="00E92B13"/>
    <w:rsid w:val="00E94B8D"/>
    <w:rsid w:val="00EA44F0"/>
    <w:rsid w:val="00EA4848"/>
    <w:rsid w:val="00EA698E"/>
    <w:rsid w:val="00EB6B9F"/>
    <w:rsid w:val="00ED439D"/>
    <w:rsid w:val="00ED755A"/>
    <w:rsid w:val="00EE5FCD"/>
    <w:rsid w:val="00EE6A13"/>
    <w:rsid w:val="00EF08EE"/>
    <w:rsid w:val="00EF3100"/>
    <w:rsid w:val="00EF4E10"/>
    <w:rsid w:val="00EF5B14"/>
    <w:rsid w:val="00F00A07"/>
    <w:rsid w:val="00F0160B"/>
    <w:rsid w:val="00F04FA2"/>
    <w:rsid w:val="00F104AA"/>
    <w:rsid w:val="00F118C5"/>
    <w:rsid w:val="00F15A7A"/>
    <w:rsid w:val="00F16320"/>
    <w:rsid w:val="00F27EE7"/>
    <w:rsid w:val="00F40745"/>
    <w:rsid w:val="00F43D1B"/>
    <w:rsid w:val="00F44952"/>
    <w:rsid w:val="00F46DB8"/>
    <w:rsid w:val="00F54AF6"/>
    <w:rsid w:val="00F55315"/>
    <w:rsid w:val="00F55971"/>
    <w:rsid w:val="00F603CA"/>
    <w:rsid w:val="00F612C9"/>
    <w:rsid w:val="00F61ECB"/>
    <w:rsid w:val="00F64A0E"/>
    <w:rsid w:val="00F76D74"/>
    <w:rsid w:val="00F8254F"/>
    <w:rsid w:val="00F826B6"/>
    <w:rsid w:val="00F83C54"/>
    <w:rsid w:val="00F91AB5"/>
    <w:rsid w:val="00F95628"/>
    <w:rsid w:val="00FA19C8"/>
    <w:rsid w:val="00FA359D"/>
    <w:rsid w:val="00FA6583"/>
    <w:rsid w:val="00FA7905"/>
    <w:rsid w:val="00FB3B6F"/>
    <w:rsid w:val="00FB6929"/>
    <w:rsid w:val="00FB776C"/>
    <w:rsid w:val="00FD2018"/>
    <w:rsid w:val="00FD52C9"/>
    <w:rsid w:val="00FF5097"/>
    <w:rsid w:val="00FF6000"/>
    <w:rsid w:val="20926EBD"/>
    <w:rsid w:val="2CF54A41"/>
    <w:rsid w:val="300B0DBB"/>
    <w:rsid w:val="463440C5"/>
    <w:rsid w:val="48BE17B8"/>
    <w:rsid w:val="538C3C04"/>
    <w:rsid w:val="7F26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3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33"/>
    <w:qFormat/>
    <w:uiPriority w:val="0"/>
    <w:pPr>
      <w:keepNext/>
      <w:keepLines/>
      <w:widowControl/>
      <w:spacing w:before="260" w:after="260" w:line="416" w:lineRule="auto"/>
      <w:jc w:val="left"/>
      <w:outlineLvl w:val="2"/>
    </w:pPr>
    <w:rPr>
      <w:rFonts w:ascii="宋体" w:hAnsi="宋体" w:eastAsia="宋体" w:cs="宋体"/>
      <w:b/>
      <w:bCs/>
      <w:kern w:val="0"/>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0"/>
    <w:semiHidden/>
    <w:unhideWhenUsed/>
    <w:qFormat/>
    <w:uiPriority w:val="99"/>
    <w:rPr>
      <w:rFonts w:ascii="宋体" w:eastAsia="宋体"/>
      <w:sz w:val="18"/>
      <w:szCs w:val="18"/>
    </w:rPr>
  </w:style>
  <w:style w:type="paragraph" w:styleId="5">
    <w:name w:val="Body Text Indent"/>
    <w:basedOn w:val="1"/>
    <w:link w:val="28"/>
    <w:semiHidden/>
    <w:unhideWhenUsed/>
    <w:qFormat/>
    <w:uiPriority w:val="99"/>
    <w:pPr>
      <w:spacing w:after="120"/>
      <w:ind w:left="420" w:leftChars="200"/>
    </w:pPr>
  </w:style>
  <w:style w:type="paragraph" w:styleId="6">
    <w:name w:val="toc 3"/>
    <w:basedOn w:val="1"/>
    <w:next w:val="1"/>
    <w:unhideWhenUsed/>
    <w:qFormat/>
    <w:uiPriority w:val="39"/>
    <w:pPr>
      <w:ind w:left="840" w:leftChars="400"/>
    </w:pPr>
  </w:style>
  <w:style w:type="paragraph" w:styleId="7">
    <w:name w:val="Date"/>
    <w:basedOn w:val="1"/>
    <w:next w:val="1"/>
    <w:link w:val="31"/>
    <w:semiHidden/>
    <w:unhideWhenUsed/>
    <w:qFormat/>
    <w:uiPriority w:val="99"/>
    <w:pPr>
      <w:ind w:left="100" w:leftChars="2500"/>
    </w:pPr>
  </w:style>
  <w:style w:type="paragraph" w:styleId="8">
    <w:name w:val="Balloon Text"/>
    <w:basedOn w:val="1"/>
    <w:link w:val="37"/>
    <w:qFormat/>
    <w:uiPriority w:val="0"/>
    <w:pPr>
      <w:widowControl/>
      <w:jc w:val="left"/>
    </w:pPr>
    <w:rPr>
      <w:rFonts w:ascii="宋体" w:hAnsi="Calibri" w:eastAsia="宋体"/>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pPr>
    <w:rPr>
      <w:rFonts w:ascii="黑体" w:hAnsi="黑体" w:eastAsia="黑体"/>
      <w:b/>
      <w:sz w:val="30"/>
      <w:szCs w:val="30"/>
    </w:rPr>
  </w:style>
  <w:style w:type="paragraph" w:styleId="12">
    <w:name w:val="footnote text"/>
    <w:basedOn w:val="1"/>
    <w:link w:val="32"/>
    <w:semiHidden/>
    <w:unhideWhenUsed/>
    <w:qFormat/>
    <w:uiPriority w:val="99"/>
    <w:pPr>
      <w:snapToGrid w:val="0"/>
      <w:jc w:val="left"/>
    </w:pPr>
    <w:rPr>
      <w:sz w:val="18"/>
      <w:szCs w:val="18"/>
    </w:rPr>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Body Text First Indent 2"/>
    <w:basedOn w:val="5"/>
    <w:link w:val="29"/>
    <w:qFormat/>
    <w:uiPriority w:val="99"/>
    <w:pPr>
      <w:ind w:firstLine="420"/>
    </w:pPr>
    <w:rPr>
      <w:rFonts w:ascii="宋体" w:hAnsi="宋体" w:eastAsia="宋体" w:cs="宋体"/>
      <w:szCs w:val="21"/>
    </w:rPr>
  </w:style>
  <w:style w:type="character" w:styleId="18">
    <w:name w:val="Strong"/>
    <w:basedOn w:val="17"/>
    <w:qFormat/>
    <w:uiPriority w:val="22"/>
    <w:rPr>
      <w:b/>
      <w:bCs/>
    </w:rPr>
  </w:style>
  <w:style w:type="character" w:styleId="19">
    <w:name w:val="Emphasis"/>
    <w:basedOn w:val="17"/>
    <w:qFormat/>
    <w:uiPriority w:val="20"/>
    <w:rPr>
      <w:i/>
      <w:iCs/>
    </w:rPr>
  </w:style>
  <w:style w:type="character" w:styleId="20">
    <w:name w:val="Hyperlink"/>
    <w:basedOn w:val="17"/>
    <w:unhideWhenUsed/>
    <w:qFormat/>
    <w:uiPriority w:val="99"/>
    <w:rPr>
      <w:color w:val="0000FF" w:themeColor="hyperlink"/>
      <w:u w:val="single"/>
      <w14:textFill>
        <w14:solidFill>
          <w14:schemeClr w14:val="hlink"/>
        </w14:solidFill>
      </w14:textFill>
    </w:rPr>
  </w:style>
  <w:style w:type="paragraph" w:styleId="21">
    <w:name w:val="List Paragraph"/>
    <w:basedOn w:val="1"/>
    <w:qFormat/>
    <w:uiPriority w:val="34"/>
    <w:pPr>
      <w:ind w:firstLine="420" w:firstLineChars="200"/>
    </w:pPr>
  </w:style>
  <w:style w:type="character" w:customStyle="1" w:styleId="22">
    <w:name w:val="页眉 Char"/>
    <w:basedOn w:val="17"/>
    <w:link w:val="10"/>
    <w:semiHidden/>
    <w:qFormat/>
    <w:uiPriority w:val="99"/>
    <w:rPr>
      <w:sz w:val="18"/>
      <w:szCs w:val="18"/>
    </w:rPr>
  </w:style>
  <w:style w:type="character" w:customStyle="1" w:styleId="23">
    <w:name w:val="页脚 Char"/>
    <w:basedOn w:val="17"/>
    <w:link w:val="9"/>
    <w:qFormat/>
    <w:uiPriority w:val="99"/>
    <w:rPr>
      <w:sz w:val="18"/>
      <w:szCs w:val="18"/>
    </w:rPr>
  </w:style>
  <w:style w:type="character" w:customStyle="1" w:styleId="24">
    <w:name w:val="Subtle Emphasis"/>
    <w:basedOn w:val="17"/>
    <w:qFormat/>
    <w:uiPriority w:val="19"/>
    <w:rPr>
      <w:i/>
      <w:iCs/>
      <w:color w:val="808080" w:themeColor="text1" w:themeTint="80"/>
      <w14:textFill>
        <w14:solidFill>
          <w14:schemeClr w14:val="tx1">
            <w14:lumMod w14:val="50000"/>
            <w14:lumOff w14:val="50000"/>
          </w14:schemeClr>
        </w14:solidFill>
      </w14:textFill>
    </w:rPr>
  </w:style>
  <w:style w:type="character" w:customStyle="1" w:styleId="25">
    <w:name w:val="font61"/>
    <w:qFormat/>
    <w:uiPriority w:val="0"/>
    <w:rPr>
      <w:rFonts w:hint="eastAsia" w:ascii="仿宋_GB2312" w:eastAsia="仿宋_GB2312" w:cs="仿宋_GB2312"/>
      <w:color w:val="000000"/>
      <w:sz w:val="21"/>
      <w:szCs w:val="21"/>
      <w:u w:val="none"/>
    </w:rPr>
  </w:style>
  <w:style w:type="character" w:customStyle="1" w:styleId="26">
    <w:name w:val="font51"/>
    <w:qFormat/>
    <w:uiPriority w:val="0"/>
    <w:rPr>
      <w:rFonts w:hint="default" w:ascii="Times New Roman" w:hAnsi="Times New Roman" w:cs="Times New Roman"/>
      <w:color w:val="000000"/>
      <w:sz w:val="21"/>
      <w:szCs w:val="21"/>
      <w:u w:val="none"/>
    </w:rPr>
  </w:style>
  <w:style w:type="paragraph" w:customStyle="1" w:styleId="27">
    <w:name w:val="Char Char Char Char"/>
    <w:basedOn w:val="1"/>
    <w:qFormat/>
    <w:uiPriority w:val="0"/>
    <w:pPr>
      <w:spacing w:line="520" w:lineRule="exact"/>
      <w:ind w:firstLine="602" w:firstLineChars="200"/>
    </w:pPr>
    <w:rPr>
      <w:rFonts w:ascii="Times New Roman" w:hAnsi="Times New Roman" w:eastAsia="宋体" w:cs="Times New Roman"/>
      <w:szCs w:val="20"/>
    </w:rPr>
  </w:style>
  <w:style w:type="character" w:customStyle="1" w:styleId="28">
    <w:name w:val="正文文本缩进 Char"/>
    <w:basedOn w:val="17"/>
    <w:link w:val="5"/>
    <w:semiHidden/>
    <w:qFormat/>
    <w:uiPriority w:val="99"/>
  </w:style>
  <w:style w:type="character" w:customStyle="1" w:styleId="29">
    <w:name w:val="正文首行缩进 2 Char"/>
    <w:basedOn w:val="28"/>
    <w:link w:val="15"/>
    <w:qFormat/>
    <w:uiPriority w:val="99"/>
    <w:rPr>
      <w:rFonts w:ascii="宋体" w:hAnsi="宋体" w:eastAsia="宋体" w:cs="宋体"/>
      <w:szCs w:val="21"/>
    </w:rPr>
  </w:style>
  <w:style w:type="character" w:customStyle="1" w:styleId="30">
    <w:name w:val="文档结构图 Char"/>
    <w:basedOn w:val="17"/>
    <w:link w:val="4"/>
    <w:semiHidden/>
    <w:qFormat/>
    <w:uiPriority w:val="99"/>
    <w:rPr>
      <w:rFonts w:ascii="宋体" w:eastAsia="宋体"/>
      <w:sz w:val="18"/>
      <w:szCs w:val="18"/>
    </w:rPr>
  </w:style>
  <w:style w:type="character" w:customStyle="1" w:styleId="31">
    <w:name w:val="日期 Char"/>
    <w:basedOn w:val="17"/>
    <w:link w:val="7"/>
    <w:semiHidden/>
    <w:qFormat/>
    <w:uiPriority w:val="99"/>
  </w:style>
  <w:style w:type="character" w:customStyle="1" w:styleId="32">
    <w:name w:val="脚注文本 Char"/>
    <w:basedOn w:val="17"/>
    <w:link w:val="12"/>
    <w:semiHidden/>
    <w:qFormat/>
    <w:uiPriority w:val="99"/>
    <w:rPr>
      <w:sz w:val="18"/>
      <w:szCs w:val="18"/>
    </w:rPr>
  </w:style>
  <w:style w:type="character" w:customStyle="1" w:styleId="33">
    <w:name w:val="标题 3 Char"/>
    <w:basedOn w:val="17"/>
    <w:link w:val="3"/>
    <w:qFormat/>
    <w:uiPriority w:val="0"/>
    <w:rPr>
      <w:rFonts w:ascii="宋体" w:hAnsi="宋体" w:eastAsia="宋体" w:cs="宋体"/>
      <w:b/>
      <w:bCs/>
      <w:kern w:val="0"/>
      <w:sz w:val="32"/>
      <w:szCs w:val="32"/>
    </w:rPr>
  </w:style>
  <w:style w:type="character" w:customStyle="1" w:styleId="34">
    <w:name w:val="标题 2 Char"/>
    <w:basedOn w:val="17"/>
    <w:link w:val="2"/>
    <w:semiHidden/>
    <w:qFormat/>
    <w:uiPriority w:val="9"/>
    <w:rPr>
      <w:rFonts w:asciiTheme="majorHAnsi" w:hAnsiTheme="majorHAnsi" w:eastAsiaTheme="majorEastAsia" w:cstheme="majorBidi"/>
      <w:b/>
      <w:bCs/>
      <w:sz w:val="32"/>
      <w:szCs w:val="32"/>
    </w:rPr>
  </w:style>
  <w:style w:type="paragraph" w:customStyle="1" w:styleId="35">
    <w:name w:val="正文缩进1"/>
    <w:basedOn w:val="1"/>
    <w:qFormat/>
    <w:uiPriority w:val="0"/>
    <w:pPr>
      <w:ind w:firstLine="420" w:firstLineChars="200"/>
    </w:pPr>
    <w:rPr>
      <w:rFonts w:ascii="Times New Roman" w:hAnsi="Times New Roman" w:eastAsia="宋体" w:cs="Times New Roman"/>
      <w:szCs w:val="24"/>
    </w:rPr>
  </w:style>
  <w:style w:type="character" w:customStyle="1" w:styleId="36">
    <w:name w:val="批注框文本 Char"/>
    <w:basedOn w:val="17"/>
    <w:link w:val="8"/>
    <w:qFormat/>
    <w:uiPriority w:val="0"/>
    <w:rPr>
      <w:rFonts w:ascii="宋体" w:hAnsi="Calibri" w:eastAsia="宋体"/>
      <w:sz w:val="18"/>
      <w:szCs w:val="18"/>
    </w:rPr>
  </w:style>
  <w:style w:type="character" w:customStyle="1" w:styleId="37">
    <w:name w:val="批注框文本 Char1"/>
    <w:basedOn w:val="17"/>
    <w:link w:val="8"/>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D3C6A5-302D-4238-8ADD-D8B6E2FEC7CB}">
  <ds:schemaRefs/>
</ds:datastoreItem>
</file>

<file path=docProps/app.xml><?xml version="1.0" encoding="utf-8"?>
<Properties xmlns="http://schemas.openxmlformats.org/officeDocument/2006/extended-properties" xmlns:vt="http://schemas.openxmlformats.org/officeDocument/2006/docPropsVTypes">
  <Template>Normal.dotm</Template>
  <Pages>52</Pages>
  <Words>5147</Words>
  <Characters>29338</Characters>
  <Lines>244</Lines>
  <Paragraphs>68</Paragraphs>
  <TotalTime>3</TotalTime>
  <ScaleCrop>false</ScaleCrop>
  <LinksUpToDate>false</LinksUpToDate>
  <CharactersWithSpaces>34417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2020-09-15T08:49:00Z</dcterms:created>
  <dc:creator>lenovo</dc:creator>
  <cp:lastModifiedBy>jlancat</cp:lastModifiedBy>
  <dcterms:modified xsi:type="dcterms:W3CDTF">2021-05-12T08:09:03Z</dcterms:modified>
  <cp:revision>327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99A7283173144EC9BE37B4F16DAD963E</vt:lpwstr>
  </property>
</Properties>
</file>