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8" w:rsidRDefault="002C36B8" w:rsidP="002C36B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台州市开发区（园区）整合提升总体方案</w:t>
      </w:r>
    </w:p>
    <w:p w:rsidR="002C36B8" w:rsidRDefault="002C36B8" w:rsidP="002C36B8">
      <w:pPr>
        <w:spacing w:beforeLines="50"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（征求意见稿）</w:t>
      </w:r>
    </w:p>
    <w:p w:rsidR="002C36B8" w:rsidRDefault="002C36B8" w:rsidP="002C36B8">
      <w:pPr>
        <w:spacing w:line="600" w:lineRule="exact"/>
        <w:jc w:val="center"/>
        <w:rPr>
          <w:sz w:val="32"/>
          <w:szCs w:val="32"/>
        </w:rPr>
      </w:pPr>
    </w:p>
    <w:p w:rsidR="002C36B8" w:rsidRDefault="002C36B8" w:rsidP="002C36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为贯彻落实《中共浙江省委浙江省人民政府印发&lt;关于整合提升全省各类开发区（园区）的指导意见&gt;的通知》(</w:t>
      </w:r>
      <w:proofErr w:type="gramStart"/>
      <w:r>
        <w:rPr>
          <w:rFonts w:ascii="仿宋_GB2312" w:eastAsia="仿宋_GB2312" w:hint="eastAsia"/>
          <w:sz w:val="32"/>
          <w:szCs w:val="32"/>
        </w:rPr>
        <w:t>浙委发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号)精神，积极推进全市开发区（园区）系统性重构、创新性变革，特制定本方案。</w:t>
      </w:r>
    </w:p>
    <w:p w:rsidR="002C36B8" w:rsidRDefault="002C36B8" w:rsidP="002C36B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一、基础现状</w:t>
      </w:r>
    </w:p>
    <w:p w:rsidR="002C36B8" w:rsidRDefault="002C36B8" w:rsidP="002C36B8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（一）省级开发区（园区）情况</w:t>
      </w:r>
    </w:p>
    <w:p w:rsidR="002C36B8" w:rsidRDefault="002C36B8" w:rsidP="002C36B8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bookmarkStart w:id="0" w:name="_Hlk49117467"/>
      <w:r>
        <w:rPr>
          <w:rFonts w:ascii="仿宋_GB2312" w:eastAsia="仿宋_GB2312" w:hint="eastAsia"/>
          <w:sz w:val="32"/>
          <w:szCs w:val="32"/>
        </w:rPr>
        <w:t>整合提升涉及省级开发区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（园区）17个，其中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省级产业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集聚区（新区）1个，为台州湾新区；省级经济开发区9个，分别为黄岩经济开发区、路桥经济开发区、临海经济开发区、浙江头门港经济开发区、温岭经济开发区、玉环经济开发区、天台经济开发区、仙居经济开发区、三门经济开发区。省级高新技术产业园区4个，分别为</w:t>
      </w:r>
      <w:r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台州高新技术产业园区、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台州现代医药高新技术产业园区</w:t>
      </w:r>
      <w:r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玉环现代交通装备省级高新技术产业园区、天台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交通装备制造省级高新技术产业园区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省级经贸合作区1个，为浙台（玉环）经贸合作区；省级工业园区2个，分别为</w:t>
      </w:r>
      <w:r>
        <w:rPr>
          <w:rFonts w:ascii="仿宋_GB2312" w:eastAsia="仿宋_GB2312" w:hAnsi="黑体" w:cs="Times New Roman" w:hint="eastAsia"/>
          <w:color w:val="000000" w:themeColor="text1"/>
          <w:sz w:val="32"/>
          <w:szCs w:val="32"/>
        </w:rPr>
        <w:t>路桥工业园区、温岭工业园区。</w:t>
      </w:r>
    </w:p>
    <w:bookmarkEnd w:id="0"/>
    <w:p w:rsidR="002C36B8" w:rsidRDefault="002C36B8" w:rsidP="002C36B8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</w:rPr>
        <w:t>（二）省级以下（开发区）园区情况</w:t>
      </w:r>
    </w:p>
    <w:p w:rsidR="002C36B8" w:rsidRDefault="002C36B8" w:rsidP="002C36B8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bookmarkStart w:id="1" w:name="_Hlk49117645"/>
      <w:r>
        <w:rPr>
          <w:rFonts w:ascii="仿宋_GB2312" w:eastAsia="仿宋_GB2312" w:hint="eastAsia"/>
          <w:color w:val="000000" w:themeColor="text1"/>
          <w:sz w:val="32"/>
          <w:szCs w:val="32"/>
        </w:rPr>
        <w:t>本次整合涉及省级以下开发区（园区）83个</w:t>
      </w:r>
      <w:bookmarkEnd w:id="1"/>
      <w:r>
        <w:rPr>
          <w:rFonts w:ascii="仿宋_GB2312" w:eastAsia="仿宋_GB2312" w:hint="eastAsia"/>
          <w:color w:val="000000" w:themeColor="text1"/>
          <w:sz w:val="32"/>
          <w:szCs w:val="32"/>
        </w:rPr>
        <w:t>，其中集聚区（新区）范围8个、椒江区3个、黄岩区21个、路桥区9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个、临海市0个、温岭市6个、玉环市2个、天台县14个、仙居县7个、三门县13个。</w:t>
      </w:r>
    </w:p>
    <w:p w:rsidR="002C36B8" w:rsidRDefault="002C36B8" w:rsidP="002C36B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二、总体目标</w:t>
      </w:r>
    </w:p>
    <w:p w:rsidR="002C36B8" w:rsidRDefault="002C36B8" w:rsidP="002C36B8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bookmarkStart w:id="2" w:name="_Hlk49117844"/>
      <w:r>
        <w:rPr>
          <w:rFonts w:ascii="仿宋_GB2312" w:eastAsia="仿宋_GB2312" w:hAnsi="仿宋_GB2312" w:cs="仿宋_GB2312" w:hint="eastAsia"/>
          <w:bCs/>
          <w:sz w:val="32"/>
          <w:szCs w:val="32"/>
        </w:rPr>
        <w:t>按照“淘汰撤销一批、转型提升一批、整合优化一批、创建打造一批”的原则，以省级新区、经济开发区、工业园区和对台经贸合作区为主体，整合形成“市本级开发平台+县市区开发平台”协同发展的“2+11”平台体系。</w:t>
      </w:r>
    </w:p>
    <w:p w:rsidR="002C36B8" w:rsidRDefault="002C36B8" w:rsidP="002C36B8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市本级开发平台包括台州湾新区、头门港经济开发区。县市区开发平台包括：椒江经济开发区（筹建）、</w:t>
      </w:r>
      <w:r>
        <w:rPr>
          <w:rFonts w:ascii="仿宋_GB2312" w:eastAsia="仿宋_GB2312" w:hAnsi="黑体" w:hint="eastAsia"/>
          <w:sz w:val="32"/>
          <w:szCs w:val="32"/>
        </w:rPr>
        <w:t>黄岩经济开发区、路桥经济开发区、临海经济开发区、温岭经济开发区、玉环经济开发区、天台经济开发区、仙居经济开发区、三门经济开发区；温岭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工业园区和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浙台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（玉环）经贸合作区。</w:t>
      </w:r>
    </w:p>
    <w:bookmarkEnd w:id="2"/>
    <w:p w:rsidR="002C36B8" w:rsidRDefault="002C36B8" w:rsidP="002C36B8">
      <w:pPr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（一）市本级开发平台</w:t>
      </w:r>
    </w:p>
    <w:p w:rsidR="002C36B8" w:rsidRDefault="002C36B8" w:rsidP="002C36B8">
      <w:pPr>
        <w:spacing w:line="60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台州湾新区。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全面托管椒江区三甲街道(含椒江农场)，白云街道2个社区，海门街道2个社区，下陈街道1个社区、8个村，以及十一塘、三山北涂、三山涂围垦区，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规划面积138.46平方公里，不设分片区，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撤销台州湾循环经济产业集聚区管委会牌子。管理机构为台州湾新区（台州高新技术产业园区）管委会。</w:t>
      </w:r>
    </w:p>
    <w:p w:rsidR="002C36B8" w:rsidRDefault="002C36B8" w:rsidP="002C36B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浙江头门港经济开发区。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管辖面积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平方公里，主要包括申报国家经济开发区范围（含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化产业提升区、临港产业集聚区、港口物流区）和临港新城、红脚岩片区等，保留浙江台州化学原料药产业园区（临海区块）牌子。管理机构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为浙江头门港经济开发区管理委员会。</w:t>
      </w:r>
    </w:p>
    <w:p w:rsidR="002C36B8" w:rsidRDefault="002C36B8" w:rsidP="002C36B8">
      <w:pPr>
        <w:spacing w:line="600" w:lineRule="exact"/>
        <w:ind w:firstLineChars="200" w:firstLine="643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（二）县市区开发平台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1．浙江椒江经济开发区（筹）。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整合台州湾循环经济产业集聚区椒江分区、聚星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科创园、飞跃科创园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等区块，组建浙江椒江经济开发区，规划面积14.26平方公里，包括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南、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北、下陈（洪家）三个片区，保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留台州现代医药产业园区牌子，撤销台州湾循环经济产业集聚区椒江分区牌子。拟设置椒江经济开发区管委会为管理机构。</w:t>
      </w:r>
    </w:p>
    <w:p w:rsidR="002C36B8" w:rsidRDefault="002C36B8" w:rsidP="002C36B8">
      <w:pPr>
        <w:spacing w:line="600" w:lineRule="exact"/>
        <w:ind w:firstLineChars="200" w:firstLine="643"/>
        <w:rPr>
          <w:bCs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2．浙江黄岩经济开发区。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在现有园区基础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上就近整合高铁区块，异地整合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院沙高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区块、中部扶贫开发区块，剔除南工业区块，整合优化后管辖面积78.15平方公里，包括永宁江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科创带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核心区（61.21平方公里）、南部新兴产业分区（9.64平方公里）、中部高端制造分区（7.30平方公里）三个片区。管理机构为浙江黄岩经济开发区管委会。</w:t>
      </w:r>
    </w:p>
    <w:p w:rsidR="002C36B8" w:rsidRDefault="002C36B8" w:rsidP="002C36B8">
      <w:pPr>
        <w:spacing w:line="600" w:lineRule="exact"/>
        <w:ind w:firstLineChars="200" w:firstLine="643"/>
        <w:rPr>
          <w:bCs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3．浙江路桥经济开发区。</w:t>
      </w:r>
      <w:r>
        <w:rPr>
          <w:rFonts w:ascii="仿宋_GB2312" w:eastAsia="仿宋_GB2312" w:hAnsi="仿宋" w:hint="eastAsia"/>
          <w:spacing w:val="4"/>
          <w:sz w:val="32"/>
          <w:szCs w:val="32"/>
        </w:rPr>
        <w:t>在现有园区基础上进行空间拓展，规划面积31.61平方公里，包括东部区块（3.57平方公里）、中部区块（23.81平方公里）、西部区块（4.23）三个片区，撤销台州湾循环经济产业集聚区路桥分区牌子，保留路桥工业园区牌子。管理机构为浙江路桥经济开发区管委会。</w:t>
      </w:r>
    </w:p>
    <w:p w:rsidR="002C36B8" w:rsidRDefault="002C36B8" w:rsidP="002C36B8">
      <w:pPr>
        <w:spacing w:line="600" w:lineRule="exact"/>
        <w:ind w:firstLineChars="200" w:firstLine="643"/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．浙江临海经济开发区。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管辖面积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平方公里，包括东城核心区、江南区块、临海南工业区（沿江区块）三个片区。管理机构为浙江临海经济开发区管委会。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．浙江温岭经济开发区。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计划以国家核准的4.16平方公里为核心，将原授权管辖面积内松门、石塘等大部分山海面</w:t>
      </w:r>
      <w:proofErr w:type="gramStart"/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积予以</w:t>
      </w:r>
      <w:proofErr w:type="gramEnd"/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剔除，整合后总面积79.736平方公里，包括经济开发区核心区块、东部沿海区块、上马工业园区三个片区。管理机构为浙江温岭经济开发区管委会。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浙江温岭工业园区。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计划以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国家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核准的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2.857平方公里为核心，整合后总面积为51.237平方公里，包括工业园区核心区块、</w:t>
      </w:r>
      <w:proofErr w:type="gramStart"/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箬</w:t>
      </w:r>
      <w:proofErr w:type="gramEnd"/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横工业区、新河工业区三个片区。管理机构为浙江温岭工业园区管委会。</w:t>
      </w:r>
    </w:p>
    <w:p w:rsidR="002C36B8" w:rsidRDefault="002C36B8" w:rsidP="002C36B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7.浙江玉环经济开发区。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整合干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江滨港工业城和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沙门滨港工业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个县级园区，并入玉环经济开发区，优化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后规划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面积为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95.26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平方公里（其中水域面积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平方公里），包含经济开发区核心区、干江（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4.33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平方公里）、沙门（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5.925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平方公里）三个片区，保留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玉环现代交通装备省级高新技术产业园区牌子。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管理机构为玉环经济开发区管委会。</w:t>
      </w:r>
    </w:p>
    <w:p w:rsidR="002C36B8" w:rsidRDefault="002C36B8" w:rsidP="002C36B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8.浙江天台经济开发区。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对原有园区进行撤并，规划面积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38.08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平方公里，分</w:t>
      </w:r>
      <w:r>
        <w:rPr>
          <w:rFonts w:ascii="Times New Roman" w:eastAsia="仿宋_GB2312" w:hAnsi="Times New Roman" w:hint="eastAsia"/>
          <w:bCs/>
          <w:sz w:val="32"/>
        </w:rPr>
        <w:t>中德</w:t>
      </w:r>
      <w:proofErr w:type="gramStart"/>
      <w:r>
        <w:rPr>
          <w:rFonts w:ascii="Times New Roman" w:eastAsia="仿宋_GB2312" w:hAnsi="Times New Roman" w:hint="eastAsia"/>
          <w:bCs/>
          <w:sz w:val="32"/>
        </w:rPr>
        <w:t>科创产业</w:t>
      </w:r>
      <w:proofErr w:type="gramEnd"/>
      <w:r>
        <w:rPr>
          <w:rFonts w:ascii="Times New Roman" w:eastAsia="仿宋_GB2312" w:hAnsi="Times New Roman" w:hint="eastAsia"/>
          <w:bCs/>
          <w:sz w:val="32"/>
        </w:rPr>
        <w:t>核心区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27.14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平方公里）、</w:t>
      </w:r>
      <w:r>
        <w:rPr>
          <w:rFonts w:ascii="Times New Roman" w:eastAsia="仿宋_GB2312" w:hAnsi="Times New Roman" w:hint="eastAsia"/>
          <w:bCs/>
          <w:sz w:val="32"/>
        </w:rPr>
        <w:t>高新技术产业发展区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3.29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平方公里）和</w:t>
      </w:r>
      <w:r>
        <w:rPr>
          <w:rFonts w:ascii="Times New Roman" w:eastAsia="仿宋_GB2312" w:hAnsi="Times New Roman" w:hint="eastAsia"/>
          <w:bCs/>
          <w:sz w:val="32"/>
        </w:rPr>
        <w:t>苍山产业集聚区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平方公里）三个片区，保留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天台交通装备制造省级高新技术产业园区牌子。管理机构为天台经济开发区管委会</w:t>
      </w:r>
      <w:r>
        <w:rPr>
          <w:rFonts w:ascii="仿宋_GB2312" w:eastAsia="仿宋_GB2312" w:hAnsi="Times New Roman" w:cs="Times New Roman" w:hint="eastAsia"/>
          <w:color w:val="FF0000"/>
          <w:sz w:val="32"/>
          <w:szCs w:val="32"/>
        </w:rPr>
        <w:t>。</w:t>
      </w:r>
    </w:p>
    <w:p w:rsidR="002C36B8" w:rsidRDefault="002C36B8" w:rsidP="002C36B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9</w:t>
      </w:r>
      <w:r>
        <w:rPr>
          <w:rFonts w:ascii="楷体_GB2312" w:eastAsia="楷体_GB2312" w:hAnsi="黑体" w:cs="黑体"/>
          <w:b/>
          <w:bCs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浙江仙居经济开发区。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对原有园区进行撤并，</w:t>
      </w:r>
      <w:r>
        <w:rPr>
          <w:rFonts w:ascii="仿宋_GB2312" w:eastAsia="仿宋_GB2312" w:hAnsi="仿宋_GB2312" w:cs="仿宋_GB2312"/>
          <w:sz w:val="32"/>
          <w:szCs w:val="32"/>
        </w:rPr>
        <w:t>规划面积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29.56</w:t>
      </w:r>
      <w:r>
        <w:rPr>
          <w:rFonts w:ascii="仿宋_GB2312" w:eastAsia="仿宋_GB2312" w:hAnsi="仿宋_GB2312" w:cs="仿宋_GB2312"/>
          <w:sz w:val="32"/>
          <w:szCs w:val="32"/>
        </w:rPr>
        <w:t>平方公里，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分核心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区块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白塔区块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横溪区块三个片区，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保留仙居县工业园区牌子。管理机构为仙居经济开发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区管委会。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浙江三门经济开发区。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pacing w:val="4"/>
          <w:sz w:val="32"/>
          <w:szCs w:val="32"/>
        </w:rPr>
        <w:t>现有园区基础上进行空间拓展，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管辖面积76平方公里，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包括三门经济开发区核心区（36平方公里）、临港产业城（20平方公里）、沿海工业城（20平方公里）三个片区，保留三门县工业园区、台州北部湾区牌子。管理机构为三门经济开发区管委会。</w:t>
      </w:r>
    </w:p>
    <w:p w:rsidR="002C36B8" w:rsidRDefault="002C36B8" w:rsidP="002C36B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11.浙台（玉环）经贸合作区。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保持</w:t>
      </w:r>
      <w:r>
        <w:rPr>
          <w:rFonts w:ascii="Times New Roman" w:eastAsia="仿宋_GB2312" w:hAnsi="Times New Roman" w:cs="Times New Roman"/>
          <w:sz w:val="32"/>
          <w:szCs w:val="32"/>
        </w:rPr>
        <w:t>浙台（玉环）经贸合作区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原有管辖面积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240.54</w:t>
      </w:r>
      <w:r>
        <w:rPr>
          <w:rFonts w:ascii="Times New Roman" w:eastAsia="仿宋_GB2312" w:hAnsi="Times New Roman" w:cs="Times New Roman"/>
          <w:sz w:val="32"/>
          <w:szCs w:val="32"/>
        </w:rPr>
        <w:t>平方公里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不变，其中陆域面积约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104.59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平方公里、海域面积约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135.95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平方公里，四至范围不变，管理机构不变，为</w:t>
      </w:r>
      <w:r>
        <w:rPr>
          <w:rFonts w:ascii="Times New Roman" w:eastAsia="仿宋_GB2312" w:hAnsi="Times New Roman" w:cs="Times New Roman"/>
          <w:sz w:val="32"/>
          <w:szCs w:val="32"/>
        </w:rPr>
        <w:t>浙台（玉环）经贸合作区管理委员会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，有序推进国家级海峡两岸（玉环）经贸合作区申报工作，积极打造“一带一路”海峡两岸黄金水道。</w:t>
      </w:r>
    </w:p>
    <w:p w:rsidR="002C36B8" w:rsidRDefault="002C36B8" w:rsidP="002C36B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三、任务举措</w:t>
      </w:r>
    </w:p>
    <w:p w:rsidR="002C36B8" w:rsidRDefault="002C36B8" w:rsidP="002C36B8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（一）突破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体制机制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精简机构设置。</w:t>
      </w:r>
      <w:r>
        <w:rPr>
          <w:rFonts w:ascii="Times New Roman" w:eastAsia="仿宋_GB2312" w:hAnsi="Times New Roman"/>
          <w:sz w:val="32"/>
          <w:szCs w:val="32"/>
        </w:rPr>
        <w:t>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一个平台、一个主体、一套班子、多块牌子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的架构，以平台内最高层级开发平台为主体，统一整合管理机构，理顺工作职能，精简整合内设机构，实施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扁平化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大部门制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管理。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不再保留的开发区（园区）管理机构一律撤销，整合后的开发区（园区）不再保留各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分片区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管理机构。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理清职能边界。</w:t>
      </w:r>
      <w:r>
        <w:rPr>
          <w:rFonts w:ascii="Times New Roman" w:eastAsia="仿宋_GB2312" w:hAnsi="Times New Roman" w:hint="eastAsia"/>
          <w:sz w:val="32"/>
          <w:szCs w:val="32"/>
        </w:rPr>
        <w:t>探索赋予台州湾新区相对独立、完整的经济社会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管理权限，管理权限应放尽放。对于暂时不宜下放的管理权限，实行“见章跟章”制度，切实做到“审批不出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区、办事不出门”。重大功能平台要聚焦主责主业，视情剥离社会事务管理职能，集中力量抓经济发展，回归本源。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改革人事制度。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坚持党管干部原则的前提下，探索推行全员聘用制、末位淘汰制改革，除党工委书记、主任、纪工委书记外，其他班子成员及以下各类管理人员档案封存，实行全员聘任竞争上岗。党工委书记和主任鼓励实行“一肩挑”。实行全员聘用制的开发区（园区）可按照有关规定自主确定薪酬水平、分配办法。对特聘的高层次管理人才、各类专业技术人才，可按规定采取兼职兼薪、年薪制、协议工资制等多种分配方式，实行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岗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薪。允许开发区（园区）国有开发运营企业按市场化方式制定薪酬办法。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重构开发模式。</w:t>
      </w:r>
      <w:r>
        <w:rPr>
          <w:rFonts w:ascii="Times New Roman" w:eastAsia="仿宋_GB2312" w:hAnsi="Times New Roman"/>
          <w:sz w:val="32"/>
          <w:szCs w:val="32"/>
        </w:rPr>
        <w:t>积极推行政企分开、政资分开，实行管理机构与开发运营企业分离。引导社会资本参与开发区（园区）建设，探索多元化的园区运营模式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鼓励以政府和社会资本合作模式</w:t>
      </w:r>
      <w:r>
        <w:rPr>
          <w:rFonts w:ascii="Times New Roman" w:eastAsia="仿宋_GB2312" w:hAnsi="Times New Roman" w:hint="eastAsia"/>
          <w:sz w:val="32"/>
          <w:szCs w:val="32"/>
        </w:rPr>
        <w:t>开展园区</w:t>
      </w:r>
      <w:r>
        <w:rPr>
          <w:rFonts w:ascii="Times New Roman" w:eastAsia="仿宋_GB2312" w:hAnsi="Times New Roman"/>
          <w:sz w:val="32"/>
          <w:szCs w:val="32"/>
        </w:rPr>
        <w:t>公共服务、基础设施类项目建设。支持符合条件的开发区</w:t>
      </w:r>
      <w:r>
        <w:rPr>
          <w:rFonts w:ascii="Times New Roman" w:eastAsia="仿宋_GB2312" w:hAnsi="Times New Roman" w:hint="eastAsia"/>
          <w:sz w:val="32"/>
          <w:szCs w:val="32"/>
        </w:rPr>
        <w:t>（园区）</w:t>
      </w:r>
      <w:r>
        <w:rPr>
          <w:rFonts w:ascii="Times New Roman" w:eastAsia="仿宋_GB2312" w:hAnsi="Times New Roman"/>
          <w:sz w:val="32"/>
          <w:szCs w:val="32"/>
        </w:rPr>
        <w:t>开发运营企业在境内外上市、发行债券融资。积极探索合作办园模式，鼓励开发区（园区）联合</w:t>
      </w:r>
      <w:r>
        <w:rPr>
          <w:rFonts w:ascii="Times New Roman" w:eastAsia="仿宋_GB2312" w:hAnsi="Times New Roman" w:hint="eastAsia"/>
          <w:sz w:val="32"/>
          <w:szCs w:val="32"/>
        </w:rPr>
        <w:t>国内开发区（园区）、</w:t>
      </w:r>
      <w:r>
        <w:rPr>
          <w:rFonts w:ascii="Times New Roman" w:eastAsia="仿宋_GB2312" w:hAnsi="Times New Roman"/>
          <w:sz w:val="32"/>
          <w:szCs w:val="32"/>
        </w:rPr>
        <w:t>民间资本、国外产业资本合作共建特色园区。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优化营商环境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按照企业全生命周期，系统推进优化营商环境“10+N”行动。</w:t>
      </w:r>
      <w:r>
        <w:rPr>
          <w:rFonts w:ascii="Times New Roman" w:eastAsia="仿宋_GB2312" w:hAnsi="Times New Roman"/>
          <w:sz w:val="32"/>
          <w:szCs w:val="32"/>
        </w:rPr>
        <w:t>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最多跑一次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改革理念为引领，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推进政务服务全流程网上办理，实现政府核心业务“掌上办事”和“掌上办公”全覆盖。普遍建立代办制度，实现大项目统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一代办、一般项目全部网上办理。</w:t>
      </w:r>
      <w:r>
        <w:rPr>
          <w:rFonts w:ascii="仿宋_GB2312" w:eastAsia="仿宋_GB2312" w:hAnsi="Times New Roman" w:cs="Times New Roman"/>
          <w:sz w:val="32"/>
          <w:szCs w:val="32"/>
        </w:rPr>
        <w:t>再造审批流程，打通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图审堵点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，全面推行</w:t>
      </w:r>
      <w:r>
        <w:rPr>
          <w:rFonts w:ascii="仿宋_GB2312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标准地+承诺制+严监管</w:t>
      </w:r>
      <w:r>
        <w:rPr>
          <w:rFonts w:ascii="仿宋_GB2312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改革，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进一步</w:t>
      </w:r>
      <w:r>
        <w:rPr>
          <w:rFonts w:ascii="仿宋_GB2312" w:eastAsia="仿宋_GB2312" w:hAnsi="Times New Roman" w:cs="Times New Roman"/>
          <w:sz w:val="32"/>
          <w:szCs w:val="32"/>
        </w:rPr>
        <w:t>提升投资项目审批效率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。复制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推广自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贸试验区经验，全面打造一流营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商环境。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252F4F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</w:rPr>
        <w:t>加强纪检监察。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规范派出机构设置，整合后的开发区（园区）统一由同级纪检监察机关派出纪检监察工委进行监督。合理配置人员力量，开发区（园区）党工委要加强领导，履行主体责任，派出机关要通过内部挖潜、科学调配、有效整合等方式，因地制宜、实事求是地配置人员编制，保障纪检监察监督力量。</w:t>
      </w:r>
    </w:p>
    <w:p w:rsidR="002C36B8" w:rsidRDefault="002C36B8" w:rsidP="002C36B8">
      <w:pPr>
        <w:spacing w:line="60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（二）壮大平台实力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壮大企业主体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以上市企业为引擎，打造一批领航型龙头企业。鼓励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龙头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企业通过联合、兼并、重组、上市等方式，加快培育一批主营业务收入超100亿元的大企业大集团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。培育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一批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具有全球竞争力的</w:t>
      </w:r>
      <w:r>
        <w:rPr>
          <w:rFonts w:ascii="仿宋_GB2312" w:eastAsia="仿宋_GB2312" w:hAnsi="Times New Roman" w:cs="Times New Roman"/>
          <w:bCs/>
          <w:sz w:val="32"/>
          <w:szCs w:val="32"/>
        </w:rPr>
        <w:t>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隐形冠军</w:t>
      </w:r>
      <w:r>
        <w:rPr>
          <w:rFonts w:ascii="仿宋_GB2312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企业和</w:t>
      </w:r>
      <w:r>
        <w:rPr>
          <w:rFonts w:ascii="仿宋_GB2312" w:eastAsia="仿宋_GB2312" w:hAnsi="Times New Roman" w:cs="Times New Roman"/>
          <w:bCs/>
          <w:sz w:val="32"/>
          <w:szCs w:val="32"/>
        </w:rPr>
        <w:t>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专精特新</w:t>
      </w:r>
      <w:r>
        <w:rPr>
          <w:rFonts w:ascii="仿宋_GB2312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企业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做强主导产业。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围绕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我市培育“456”先进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产业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集群</w:t>
      </w:r>
      <w:r>
        <w:rPr>
          <w:rFonts w:ascii="仿宋_GB2312" w:eastAsia="仿宋_GB2312" w:hAnsi="Times New Roman" w:cs="Times New Roman"/>
          <w:bCs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每个开发区（园区）</w:t>
      </w:r>
      <w:r>
        <w:rPr>
          <w:rFonts w:ascii="仿宋_GB2312" w:eastAsia="仿宋_GB2312" w:hAnsi="Times New Roman" w:cs="Times New Roman"/>
          <w:bCs/>
          <w:sz w:val="32"/>
          <w:szCs w:val="32"/>
        </w:rPr>
        <w:t>确立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1-3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个优先培育发展的主导产业，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推动产业由集聚向集群转型升级。</w:t>
      </w:r>
      <w:r>
        <w:rPr>
          <w:rFonts w:ascii="仿宋_GB2312" w:eastAsia="仿宋_GB2312" w:hAnsi="Times New Roman" w:cs="Times New Roman"/>
          <w:bCs/>
          <w:sz w:val="32"/>
          <w:szCs w:val="32"/>
        </w:rPr>
        <w:t>突出龙头引领，选择一批龙头企业和优势骨干企业，加大政策扶持力度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努力实现一个龙头企业带动一批</w:t>
      </w:r>
      <w:r>
        <w:rPr>
          <w:rFonts w:ascii="仿宋_GB2312" w:eastAsia="仿宋_GB2312" w:hAnsi="Times New Roman" w:cs="Times New Roman"/>
          <w:bCs/>
          <w:sz w:val="32"/>
          <w:szCs w:val="32"/>
        </w:rPr>
        <w:t>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小微</w:t>
      </w:r>
      <w:r>
        <w:rPr>
          <w:rFonts w:ascii="仿宋_GB2312" w:eastAsia="仿宋_GB2312" w:hAnsi="Times New Roman" w:cs="Times New Roman"/>
          <w:bCs/>
          <w:sz w:val="32"/>
          <w:szCs w:val="32"/>
        </w:rPr>
        <w:t>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企业，形成一个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产业</w:t>
      </w:r>
      <w:r>
        <w:rPr>
          <w:rFonts w:ascii="仿宋_GB2312" w:eastAsia="仿宋_GB2312" w:hAnsi="Times New Roman" w:cs="Times New Roman"/>
          <w:bCs/>
          <w:sz w:val="32"/>
          <w:szCs w:val="32"/>
        </w:rPr>
        <w:t>集群的发展格局。发挥项目支撑作用，谋划实施一批关联度高、带动力大、支撑力强的标志性项目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2C36B8" w:rsidRDefault="002C36B8" w:rsidP="002C36B8">
      <w:pPr>
        <w:spacing w:line="600" w:lineRule="exact"/>
        <w:ind w:firstLineChars="220" w:firstLine="707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扩大</w:t>
      </w:r>
      <w:r>
        <w:rPr>
          <w:rFonts w:ascii="Times New Roman" w:eastAsia="楷体_GB2312" w:hAnsi="Times New Roman" w:cs="Times New Roman"/>
          <w:b/>
          <w:sz w:val="32"/>
          <w:szCs w:val="32"/>
        </w:rPr>
        <w:t>开放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水平</w:t>
      </w:r>
      <w:r>
        <w:rPr>
          <w:rFonts w:ascii="Times New Roman" w:hAnsi="Times New Roman" w:cs="Times New Roman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以头门港经济开发区为主体，加快申报</w:t>
      </w:r>
      <w:r>
        <w:rPr>
          <w:rFonts w:ascii="仿宋_GB2312" w:eastAsia="仿宋_GB2312" w:hint="eastAsia"/>
          <w:sz w:val="32"/>
          <w:szCs w:val="32"/>
        </w:rPr>
        <w:lastRenderedPageBreak/>
        <w:t>创建国家级经济开发区和综合保税区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依托台州高新技术产业园区，申报创建国家级高新区。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激发</w:t>
      </w:r>
      <w:r>
        <w:rPr>
          <w:rFonts w:ascii="Times New Roman" w:eastAsia="楷体_GB2312" w:hAnsi="Times New Roman" w:cs="Times New Roman"/>
          <w:b/>
          <w:sz w:val="32"/>
          <w:szCs w:val="32"/>
        </w:rPr>
        <w:t>创新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活力</w:t>
      </w:r>
      <w:r>
        <w:rPr>
          <w:rFonts w:ascii="Times New Roman" w:eastAsia="楷体_GB2312" w:hAnsi="Times New Roman" w:cs="Times New Roman"/>
          <w:b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发挥企业创新主体作用，鼓励企业加大研发投入，建立研发平台。以企业为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主体</w:t>
      </w:r>
      <w:r>
        <w:rPr>
          <w:rFonts w:ascii="仿宋_GB2312" w:eastAsia="仿宋_GB2312" w:hAnsi="Times New Roman" w:cs="Times New Roman"/>
          <w:sz w:val="32"/>
          <w:szCs w:val="32"/>
        </w:rPr>
        <w:t>深化产学研交流合作，组织实施一批重大技术攻关和成果产业化项目。</w:t>
      </w:r>
      <w:r>
        <w:rPr>
          <w:rFonts w:ascii="Times New Roman" w:eastAsia="仿宋_GB2312" w:hAnsi="Times New Roman"/>
          <w:sz w:val="32"/>
          <w:szCs w:val="32"/>
        </w:rPr>
        <w:t>常态化、靶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向式开展</w:t>
      </w:r>
      <w:proofErr w:type="gramEnd"/>
      <w:r>
        <w:rPr>
          <w:rFonts w:ascii="Times New Roman" w:eastAsia="仿宋_GB2312" w:hAnsi="Times New Roman"/>
          <w:sz w:val="32"/>
          <w:szCs w:val="32"/>
        </w:rPr>
        <w:t>人才对接活动，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鼓励开发区（园区）设立人才专项资金，</w:t>
      </w:r>
      <w:r>
        <w:rPr>
          <w:rFonts w:ascii="Times New Roman" w:eastAsia="仿宋_GB2312" w:hAnsi="Times New Roman"/>
          <w:sz w:val="32"/>
          <w:szCs w:val="32"/>
        </w:rPr>
        <w:t>加快集聚高层次创新人才。</w:t>
      </w:r>
    </w:p>
    <w:p w:rsidR="002C36B8" w:rsidRDefault="002C36B8" w:rsidP="002C36B8">
      <w:pPr>
        <w:spacing w:line="600" w:lineRule="exact"/>
        <w:ind w:firstLineChars="220" w:firstLine="707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（三）提升开发水平</w:t>
      </w:r>
    </w:p>
    <w:p w:rsidR="002C36B8" w:rsidRDefault="002C36B8" w:rsidP="002C36B8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优化空间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布局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充分衔接土地利用规划、生态功能区发展规划和城市发展规划，结合现有开发</w:t>
      </w:r>
      <w:r>
        <w:rPr>
          <w:rFonts w:ascii="Times New Roman" w:eastAsia="仿宋_GB2312" w:hAnsi="Times New Roman" w:hint="eastAsia"/>
          <w:sz w:val="32"/>
          <w:szCs w:val="32"/>
        </w:rPr>
        <w:t>区（</w:t>
      </w:r>
      <w:r>
        <w:rPr>
          <w:rFonts w:ascii="Times New Roman" w:eastAsia="仿宋_GB2312" w:hAnsi="Times New Roman"/>
          <w:sz w:val="32"/>
          <w:szCs w:val="32"/>
        </w:rPr>
        <w:t>园区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分布、总量规模、产业发展等实际，对开发</w:t>
      </w:r>
      <w:r>
        <w:rPr>
          <w:rFonts w:ascii="Times New Roman" w:eastAsia="仿宋_GB2312" w:hAnsi="Times New Roman" w:hint="eastAsia"/>
          <w:sz w:val="32"/>
          <w:szCs w:val="32"/>
        </w:rPr>
        <w:t>区（</w:t>
      </w:r>
      <w:r>
        <w:rPr>
          <w:rFonts w:ascii="Times New Roman" w:eastAsia="仿宋_GB2312" w:hAnsi="Times New Roman"/>
          <w:sz w:val="32"/>
          <w:szCs w:val="32"/>
        </w:rPr>
        <w:t>园区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进行重新规划布局，</w:t>
      </w:r>
      <w:r>
        <w:rPr>
          <w:rFonts w:ascii="Times New Roman" w:eastAsia="仿宋_GB2312" w:hAnsi="Times New Roman" w:hint="eastAsia"/>
          <w:sz w:val="32"/>
          <w:szCs w:val="32"/>
        </w:rPr>
        <w:t>明</w:t>
      </w:r>
      <w:r>
        <w:rPr>
          <w:rFonts w:ascii="Times New Roman" w:eastAsia="仿宋_GB2312" w:hAnsi="Times New Roman"/>
          <w:sz w:val="32"/>
          <w:szCs w:val="32"/>
        </w:rPr>
        <w:t>晰园区定位和发展导向，做到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四有三无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，即：有四至范围、有核心区域、有主导产业、有发展空间，无涉生态保护红线、无涉永久基本农田保护红线、无突破城镇开发边界。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整合后的开发区（园区）要求空间相对集中连片，严格控制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分片区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数量，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分片区数量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不超过3个。</w:t>
      </w:r>
    </w:p>
    <w:p w:rsidR="002C36B8" w:rsidRDefault="002C36B8" w:rsidP="002C36B8">
      <w:pPr>
        <w:spacing w:line="600" w:lineRule="exact"/>
        <w:ind w:firstLineChars="220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推进有机更新。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根据国家经济技术开发区、国家高新技术产业开发区等国家级平台申报创建情况，对开发区（园区）进行适当调整。深化“亩均论英雄”改革，严格企业入园条件，淘汰亩均产出偏低的企业。制定实施开发区（园区）产业目录，</w:t>
      </w:r>
      <w:r>
        <w:rPr>
          <w:rFonts w:ascii="Times New Roman" w:eastAsia="仿宋_GB2312" w:hAnsi="Times New Roman"/>
          <w:sz w:val="32"/>
          <w:szCs w:val="32"/>
        </w:rPr>
        <w:t>引导园外达标企业选择符合自身产业发展特色的开发区（园区），入园集聚提升发展。支持园内企业兼并重组园内外企业，整合资源优势，推动培强育优。</w:t>
      </w:r>
    </w:p>
    <w:p w:rsidR="00493F0E" w:rsidRPr="002C36B8" w:rsidRDefault="002C36B8" w:rsidP="002C36B8">
      <w:pPr>
        <w:spacing w:line="600" w:lineRule="exact"/>
        <w:ind w:firstLineChars="220" w:firstLine="707"/>
        <w:rPr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推进</w:t>
      </w:r>
      <w:proofErr w:type="gramStart"/>
      <w:r>
        <w:rPr>
          <w:rFonts w:ascii="楷体_GB2312" w:eastAsia="楷体_GB2312" w:hAnsi="Times New Roman" w:cs="Times New Roman" w:hint="eastAsia"/>
          <w:b/>
          <w:sz w:val="32"/>
          <w:szCs w:val="32"/>
        </w:rPr>
        <w:t>产城融合</w:t>
      </w:r>
      <w:proofErr w:type="gramEnd"/>
      <w:r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优化调整开发区（园区）发展总体规划，平衡产业用地、基础设施用地和公共服务用地需求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，促进生产、生活、生态融合发展。加快补齐公共服务设施</w:t>
      </w:r>
      <w:r>
        <w:rPr>
          <w:rFonts w:ascii="Times New Roman" w:eastAsia="仿宋_GB2312" w:hAnsi="Times New Roman" w:hint="eastAsia"/>
          <w:sz w:val="32"/>
          <w:szCs w:val="32"/>
        </w:rPr>
        <w:t>短板，完善商业、教育、卫生、文体等服务功能配套，建设一批一站式社区便民服务中心，构建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分钟可达、舒适宜人的高品质社区生活圈。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统筹产业与城市空间布局，</w:t>
      </w:r>
      <w:r>
        <w:rPr>
          <w:rFonts w:ascii="Times New Roman" w:eastAsia="仿宋_GB2312" w:hAnsi="Times New Roman" w:hint="eastAsia"/>
          <w:sz w:val="32"/>
          <w:szCs w:val="32"/>
        </w:rPr>
        <w:t>高标准编制实施台州湾新区发展规划和各类开发平台规划，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以产促城、以城兴产、以城聚人。</w:t>
      </w:r>
    </w:p>
    <w:sectPr w:rsidR="00493F0E" w:rsidRPr="002C36B8" w:rsidSect="00B64E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FB" w:rsidRDefault="000064FB" w:rsidP="00CC152A">
      <w:r>
        <w:separator/>
      </w:r>
    </w:p>
  </w:endnote>
  <w:endnote w:type="continuationSeparator" w:id="0">
    <w:p w:rsidR="000064FB" w:rsidRDefault="000064FB" w:rsidP="00CC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3988"/>
      <w:docPartObj>
        <w:docPartGallery w:val="Page Numbers (Bottom of Page)"/>
        <w:docPartUnique/>
      </w:docPartObj>
    </w:sdtPr>
    <w:sdtContent>
      <w:p w:rsidR="002C7786" w:rsidRDefault="00905BA1">
        <w:pPr>
          <w:pStyle w:val="a4"/>
          <w:jc w:val="center"/>
        </w:pPr>
        <w:r w:rsidRPr="00905BA1">
          <w:fldChar w:fldCharType="begin"/>
        </w:r>
        <w:r w:rsidR="002C7786">
          <w:instrText xml:space="preserve"> PAGE   \* MERGEFORMAT </w:instrText>
        </w:r>
        <w:r w:rsidRPr="00905BA1">
          <w:fldChar w:fldCharType="separate"/>
        </w:r>
        <w:r w:rsidR="002C36B8" w:rsidRPr="002C36B8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2C7786" w:rsidRDefault="002C77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FB" w:rsidRDefault="000064FB" w:rsidP="00CC152A">
      <w:r>
        <w:separator/>
      </w:r>
    </w:p>
  </w:footnote>
  <w:footnote w:type="continuationSeparator" w:id="0">
    <w:p w:rsidR="000064FB" w:rsidRDefault="000064FB" w:rsidP="00CC1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09BE"/>
    <w:multiLevelType w:val="singleLevel"/>
    <w:tmpl w:val="377309BE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52A"/>
    <w:rsid w:val="000064FB"/>
    <w:rsid w:val="00011B29"/>
    <w:rsid w:val="000138BD"/>
    <w:rsid w:val="00015ED5"/>
    <w:rsid w:val="000165B9"/>
    <w:rsid w:val="00016701"/>
    <w:rsid w:val="000169B2"/>
    <w:rsid w:val="00016DE7"/>
    <w:rsid w:val="0002272D"/>
    <w:rsid w:val="00022FBB"/>
    <w:rsid w:val="00034510"/>
    <w:rsid w:val="00035373"/>
    <w:rsid w:val="00036828"/>
    <w:rsid w:val="0004079E"/>
    <w:rsid w:val="000467C6"/>
    <w:rsid w:val="00056917"/>
    <w:rsid w:val="00061E69"/>
    <w:rsid w:val="000638DC"/>
    <w:rsid w:val="000667A9"/>
    <w:rsid w:val="0007323F"/>
    <w:rsid w:val="00074892"/>
    <w:rsid w:val="000765C6"/>
    <w:rsid w:val="00081AC5"/>
    <w:rsid w:val="000854FF"/>
    <w:rsid w:val="000916D6"/>
    <w:rsid w:val="00095B5B"/>
    <w:rsid w:val="00095C51"/>
    <w:rsid w:val="000A13C7"/>
    <w:rsid w:val="000A163D"/>
    <w:rsid w:val="000C47D3"/>
    <w:rsid w:val="000D1719"/>
    <w:rsid w:val="000D34B9"/>
    <w:rsid w:val="000E4A8C"/>
    <w:rsid w:val="000F03D1"/>
    <w:rsid w:val="000F51E0"/>
    <w:rsid w:val="000F5C05"/>
    <w:rsid w:val="000F7CC1"/>
    <w:rsid w:val="001071C0"/>
    <w:rsid w:val="0011705B"/>
    <w:rsid w:val="00121D1A"/>
    <w:rsid w:val="001268EF"/>
    <w:rsid w:val="001321A2"/>
    <w:rsid w:val="00136B07"/>
    <w:rsid w:val="00137703"/>
    <w:rsid w:val="00137AB8"/>
    <w:rsid w:val="00154D7C"/>
    <w:rsid w:val="00161E97"/>
    <w:rsid w:val="00162856"/>
    <w:rsid w:val="001672B4"/>
    <w:rsid w:val="0017260B"/>
    <w:rsid w:val="00172D39"/>
    <w:rsid w:val="00173856"/>
    <w:rsid w:val="00174FE9"/>
    <w:rsid w:val="001822CC"/>
    <w:rsid w:val="001862E7"/>
    <w:rsid w:val="00192630"/>
    <w:rsid w:val="001964C6"/>
    <w:rsid w:val="001C1381"/>
    <w:rsid w:val="001D659E"/>
    <w:rsid w:val="001F1A5B"/>
    <w:rsid w:val="001F2BA5"/>
    <w:rsid w:val="001F7C16"/>
    <w:rsid w:val="00202192"/>
    <w:rsid w:val="00203BC9"/>
    <w:rsid w:val="00205D23"/>
    <w:rsid w:val="00224E78"/>
    <w:rsid w:val="002268E0"/>
    <w:rsid w:val="00227187"/>
    <w:rsid w:val="002401FF"/>
    <w:rsid w:val="00243072"/>
    <w:rsid w:val="0025293B"/>
    <w:rsid w:val="00264392"/>
    <w:rsid w:val="00264AD3"/>
    <w:rsid w:val="0026536D"/>
    <w:rsid w:val="0027008C"/>
    <w:rsid w:val="00273E26"/>
    <w:rsid w:val="00285778"/>
    <w:rsid w:val="002969C3"/>
    <w:rsid w:val="00297AF1"/>
    <w:rsid w:val="002A0155"/>
    <w:rsid w:val="002A3BF2"/>
    <w:rsid w:val="002A4DBC"/>
    <w:rsid w:val="002A6EF4"/>
    <w:rsid w:val="002B13A2"/>
    <w:rsid w:val="002B3DE1"/>
    <w:rsid w:val="002C1B4D"/>
    <w:rsid w:val="002C36B8"/>
    <w:rsid w:val="002C389B"/>
    <w:rsid w:val="002C7786"/>
    <w:rsid w:val="002D0A09"/>
    <w:rsid w:val="002D4A27"/>
    <w:rsid w:val="002D7F0E"/>
    <w:rsid w:val="002F1237"/>
    <w:rsid w:val="002F1441"/>
    <w:rsid w:val="002F68F6"/>
    <w:rsid w:val="00301E2B"/>
    <w:rsid w:val="003029B3"/>
    <w:rsid w:val="00302D6C"/>
    <w:rsid w:val="00304238"/>
    <w:rsid w:val="0030493E"/>
    <w:rsid w:val="003069FE"/>
    <w:rsid w:val="003128CA"/>
    <w:rsid w:val="00316BCE"/>
    <w:rsid w:val="00323434"/>
    <w:rsid w:val="003261CE"/>
    <w:rsid w:val="00327F75"/>
    <w:rsid w:val="00330E8B"/>
    <w:rsid w:val="003318F7"/>
    <w:rsid w:val="0034248B"/>
    <w:rsid w:val="003432B4"/>
    <w:rsid w:val="003454A4"/>
    <w:rsid w:val="00350982"/>
    <w:rsid w:val="00354890"/>
    <w:rsid w:val="0035667C"/>
    <w:rsid w:val="003602E3"/>
    <w:rsid w:val="00374C7B"/>
    <w:rsid w:val="003921D7"/>
    <w:rsid w:val="0039515F"/>
    <w:rsid w:val="0039591D"/>
    <w:rsid w:val="003A0548"/>
    <w:rsid w:val="003A655B"/>
    <w:rsid w:val="003B06C2"/>
    <w:rsid w:val="003B180B"/>
    <w:rsid w:val="003C3EE7"/>
    <w:rsid w:val="003C6DBA"/>
    <w:rsid w:val="003C7C43"/>
    <w:rsid w:val="003E0079"/>
    <w:rsid w:val="003F2F40"/>
    <w:rsid w:val="003F370D"/>
    <w:rsid w:val="003F5C10"/>
    <w:rsid w:val="003F6314"/>
    <w:rsid w:val="00402DD0"/>
    <w:rsid w:val="00403E21"/>
    <w:rsid w:val="0040555C"/>
    <w:rsid w:val="00413892"/>
    <w:rsid w:val="0041528B"/>
    <w:rsid w:val="00417529"/>
    <w:rsid w:val="00425674"/>
    <w:rsid w:val="0043043D"/>
    <w:rsid w:val="00433A69"/>
    <w:rsid w:val="00434D19"/>
    <w:rsid w:val="00437462"/>
    <w:rsid w:val="004379FD"/>
    <w:rsid w:val="00437EA8"/>
    <w:rsid w:val="00440CA5"/>
    <w:rsid w:val="004424CB"/>
    <w:rsid w:val="00451081"/>
    <w:rsid w:val="004510A3"/>
    <w:rsid w:val="0045351C"/>
    <w:rsid w:val="00456A15"/>
    <w:rsid w:val="00476CEB"/>
    <w:rsid w:val="004844BF"/>
    <w:rsid w:val="00493F0E"/>
    <w:rsid w:val="00495B2F"/>
    <w:rsid w:val="00496D0B"/>
    <w:rsid w:val="00496DA3"/>
    <w:rsid w:val="004A0071"/>
    <w:rsid w:val="004A0599"/>
    <w:rsid w:val="004A3AC6"/>
    <w:rsid w:val="004A4EA6"/>
    <w:rsid w:val="004A7AFB"/>
    <w:rsid w:val="004B06EA"/>
    <w:rsid w:val="004B2812"/>
    <w:rsid w:val="004B4257"/>
    <w:rsid w:val="004B6A8A"/>
    <w:rsid w:val="004C43B6"/>
    <w:rsid w:val="004C7678"/>
    <w:rsid w:val="004D6E3E"/>
    <w:rsid w:val="004E5537"/>
    <w:rsid w:val="004F0BEC"/>
    <w:rsid w:val="004F0F29"/>
    <w:rsid w:val="004F0F52"/>
    <w:rsid w:val="004F4EFC"/>
    <w:rsid w:val="00500448"/>
    <w:rsid w:val="00504EC9"/>
    <w:rsid w:val="00510FAB"/>
    <w:rsid w:val="00511A5A"/>
    <w:rsid w:val="00526411"/>
    <w:rsid w:val="00534176"/>
    <w:rsid w:val="00541358"/>
    <w:rsid w:val="005425FA"/>
    <w:rsid w:val="00544B66"/>
    <w:rsid w:val="0054788F"/>
    <w:rsid w:val="0055683A"/>
    <w:rsid w:val="00556C7B"/>
    <w:rsid w:val="00562F2F"/>
    <w:rsid w:val="00566629"/>
    <w:rsid w:val="00571ADB"/>
    <w:rsid w:val="00571E04"/>
    <w:rsid w:val="005728EC"/>
    <w:rsid w:val="00577E17"/>
    <w:rsid w:val="005838CE"/>
    <w:rsid w:val="005872E0"/>
    <w:rsid w:val="0059321C"/>
    <w:rsid w:val="005A13AE"/>
    <w:rsid w:val="005A16E9"/>
    <w:rsid w:val="005A28C8"/>
    <w:rsid w:val="005A64A0"/>
    <w:rsid w:val="005B01D0"/>
    <w:rsid w:val="005B4CF0"/>
    <w:rsid w:val="005B5705"/>
    <w:rsid w:val="005B72A1"/>
    <w:rsid w:val="005C1A60"/>
    <w:rsid w:val="005C31B8"/>
    <w:rsid w:val="005C6E5C"/>
    <w:rsid w:val="005C6F03"/>
    <w:rsid w:val="005D3C97"/>
    <w:rsid w:val="005D5481"/>
    <w:rsid w:val="005F094A"/>
    <w:rsid w:val="00607907"/>
    <w:rsid w:val="00611147"/>
    <w:rsid w:val="00613D73"/>
    <w:rsid w:val="006173E5"/>
    <w:rsid w:val="0062348E"/>
    <w:rsid w:val="006246C5"/>
    <w:rsid w:val="00627727"/>
    <w:rsid w:val="00635BEB"/>
    <w:rsid w:val="00635D42"/>
    <w:rsid w:val="00636B8D"/>
    <w:rsid w:val="00637833"/>
    <w:rsid w:val="006462CB"/>
    <w:rsid w:val="00650797"/>
    <w:rsid w:val="0065088F"/>
    <w:rsid w:val="00651CD6"/>
    <w:rsid w:val="006544BE"/>
    <w:rsid w:val="0066092E"/>
    <w:rsid w:val="00671806"/>
    <w:rsid w:val="00671C43"/>
    <w:rsid w:val="00671FA8"/>
    <w:rsid w:val="00677A30"/>
    <w:rsid w:val="00690E36"/>
    <w:rsid w:val="00696C72"/>
    <w:rsid w:val="006B776E"/>
    <w:rsid w:val="006C0A77"/>
    <w:rsid w:val="006C7746"/>
    <w:rsid w:val="006D5CB5"/>
    <w:rsid w:val="006E7982"/>
    <w:rsid w:val="006E7E9A"/>
    <w:rsid w:val="006F2A4A"/>
    <w:rsid w:val="006F3A4D"/>
    <w:rsid w:val="006F6BDE"/>
    <w:rsid w:val="00714335"/>
    <w:rsid w:val="00716B3A"/>
    <w:rsid w:val="007251E1"/>
    <w:rsid w:val="00733F27"/>
    <w:rsid w:val="00737491"/>
    <w:rsid w:val="00745E78"/>
    <w:rsid w:val="00757C7A"/>
    <w:rsid w:val="0077273B"/>
    <w:rsid w:val="0078450B"/>
    <w:rsid w:val="0078470D"/>
    <w:rsid w:val="00786FAE"/>
    <w:rsid w:val="007927EC"/>
    <w:rsid w:val="00795D22"/>
    <w:rsid w:val="007968F4"/>
    <w:rsid w:val="007A5708"/>
    <w:rsid w:val="007A615F"/>
    <w:rsid w:val="007A7E74"/>
    <w:rsid w:val="007B20E9"/>
    <w:rsid w:val="007B4B3C"/>
    <w:rsid w:val="007B57B9"/>
    <w:rsid w:val="007C0C17"/>
    <w:rsid w:val="007C7C2C"/>
    <w:rsid w:val="007E1E86"/>
    <w:rsid w:val="007F083E"/>
    <w:rsid w:val="007F0E20"/>
    <w:rsid w:val="007F657F"/>
    <w:rsid w:val="00804F95"/>
    <w:rsid w:val="0080608E"/>
    <w:rsid w:val="00826221"/>
    <w:rsid w:val="00827BFE"/>
    <w:rsid w:val="008332B0"/>
    <w:rsid w:val="00834F78"/>
    <w:rsid w:val="0083508B"/>
    <w:rsid w:val="00837227"/>
    <w:rsid w:val="00840807"/>
    <w:rsid w:val="00844EE4"/>
    <w:rsid w:val="00854CFA"/>
    <w:rsid w:val="00854D36"/>
    <w:rsid w:val="008577C7"/>
    <w:rsid w:val="00861F60"/>
    <w:rsid w:val="00862155"/>
    <w:rsid w:val="008676E5"/>
    <w:rsid w:val="00872807"/>
    <w:rsid w:val="00873941"/>
    <w:rsid w:val="008771F8"/>
    <w:rsid w:val="00880D53"/>
    <w:rsid w:val="008817C5"/>
    <w:rsid w:val="0088702B"/>
    <w:rsid w:val="0089186D"/>
    <w:rsid w:val="008955CE"/>
    <w:rsid w:val="00896B65"/>
    <w:rsid w:val="008A117B"/>
    <w:rsid w:val="008A41EA"/>
    <w:rsid w:val="008B0001"/>
    <w:rsid w:val="008B7E3C"/>
    <w:rsid w:val="008C0AF8"/>
    <w:rsid w:val="008C2917"/>
    <w:rsid w:val="008C4ECB"/>
    <w:rsid w:val="008C6017"/>
    <w:rsid w:val="008C6352"/>
    <w:rsid w:val="008D0B20"/>
    <w:rsid w:val="008D2314"/>
    <w:rsid w:val="008E5F70"/>
    <w:rsid w:val="008E75A1"/>
    <w:rsid w:val="008F5E81"/>
    <w:rsid w:val="009058D4"/>
    <w:rsid w:val="00905BA1"/>
    <w:rsid w:val="0091228B"/>
    <w:rsid w:val="00916A67"/>
    <w:rsid w:val="00921446"/>
    <w:rsid w:val="00923C04"/>
    <w:rsid w:val="00925DA4"/>
    <w:rsid w:val="009272B8"/>
    <w:rsid w:val="00930589"/>
    <w:rsid w:val="00930CE5"/>
    <w:rsid w:val="009334B0"/>
    <w:rsid w:val="00941FC8"/>
    <w:rsid w:val="00944220"/>
    <w:rsid w:val="00951646"/>
    <w:rsid w:val="00952132"/>
    <w:rsid w:val="00952E14"/>
    <w:rsid w:val="00975A12"/>
    <w:rsid w:val="00980058"/>
    <w:rsid w:val="009805B5"/>
    <w:rsid w:val="00983077"/>
    <w:rsid w:val="009A4FB9"/>
    <w:rsid w:val="009B5789"/>
    <w:rsid w:val="009B5C25"/>
    <w:rsid w:val="009B6894"/>
    <w:rsid w:val="009C06ED"/>
    <w:rsid w:val="009D244A"/>
    <w:rsid w:val="009D51B5"/>
    <w:rsid w:val="009D70E8"/>
    <w:rsid w:val="009E0A43"/>
    <w:rsid w:val="009E4CFD"/>
    <w:rsid w:val="009F0847"/>
    <w:rsid w:val="009F0BF2"/>
    <w:rsid w:val="009F1E9C"/>
    <w:rsid w:val="00A014D5"/>
    <w:rsid w:val="00A0324C"/>
    <w:rsid w:val="00A0733C"/>
    <w:rsid w:val="00A10352"/>
    <w:rsid w:val="00A10837"/>
    <w:rsid w:val="00A159E8"/>
    <w:rsid w:val="00A22AA9"/>
    <w:rsid w:val="00A339B4"/>
    <w:rsid w:val="00A34547"/>
    <w:rsid w:val="00A37825"/>
    <w:rsid w:val="00A41722"/>
    <w:rsid w:val="00A41BDF"/>
    <w:rsid w:val="00A514AF"/>
    <w:rsid w:val="00A519EB"/>
    <w:rsid w:val="00A53442"/>
    <w:rsid w:val="00A548B8"/>
    <w:rsid w:val="00A56D99"/>
    <w:rsid w:val="00A638EE"/>
    <w:rsid w:val="00A64010"/>
    <w:rsid w:val="00A678CD"/>
    <w:rsid w:val="00A67BF5"/>
    <w:rsid w:val="00A70E06"/>
    <w:rsid w:val="00A71EEB"/>
    <w:rsid w:val="00A83C08"/>
    <w:rsid w:val="00A84B47"/>
    <w:rsid w:val="00A85599"/>
    <w:rsid w:val="00A96974"/>
    <w:rsid w:val="00A969C0"/>
    <w:rsid w:val="00AA14D7"/>
    <w:rsid w:val="00AB2F17"/>
    <w:rsid w:val="00AB39B0"/>
    <w:rsid w:val="00AC0C2B"/>
    <w:rsid w:val="00AC5A11"/>
    <w:rsid w:val="00AE1D7F"/>
    <w:rsid w:val="00AE2BC8"/>
    <w:rsid w:val="00AE6818"/>
    <w:rsid w:val="00AF0384"/>
    <w:rsid w:val="00AF2192"/>
    <w:rsid w:val="00AF5697"/>
    <w:rsid w:val="00AF7D90"/>
    <w:rsid w:val="00B00EEA"/>
    <w:rsid w:val="00B02FD3"/>
    <w:rsid w:val="00B11C7F"/>
    <w:rsid w:val="00B14B75"/>
    <w:rsid w:val="00B158FB"/>
    <w:rsid w:val="00B24BAB"/>
    <w:rsid w:val="00B33D47"/>
    <w:rsid w:val="00B34A27"/>
    <w:rsid w:val="00B47114"/>
    <w:rsid w:val="00B50706"/>
    <w:rsid w:val="00B52CB1"/>
    <w:rsid w:val="00B55BA9"/>
    <w:rsid w:val="00B60A72"/>
    <w:rsid w:val="00B6181D"/>
    <w:rsid w:val="00B64EDA"/>
    <w:rsid w:val="00B658B5"/>
    <w:rsid w:val="00B659D1"/>
    <w:rsid w:val="00B71547"/>
    <w:rsid w:val="00B74292"/>
    <w:rsid w:val="00B7525A"/>
    <w:rsid w:val="00BB5B09"/>
    <w:rsid w:val="00BC471C"/>
    <w:rsid w:val="00BC57D8"/>
    <w:rsid w:val="00BC5E18"/>
    <w:rsid w:val="00BD07ED"/>
    <w:rsid w:val="00BD0E32"/>
    <w:rsid w:val="00BE6A36"/>
    <w:rsid w:val="00BF31E9"/>
    <w:rsid w:val="00BF7380"/>
    <w:rsid w:val="00BF7AE9"/>
    <w:rsid w:val="00C0176D"/>
    <w:rsid w:val="00C03F2D"/>
    <w:rsid w:val="00C049B3"/>
    <w:rsid w:val="00C07112"/>
    <w:rsid w:val="00C142B5"/>
    <w:rsid w:val="00C17A3B"/>
    <w:rsid w:val="00C23FEA"/>
    <w:rsid w:val="00C26BAD"/>
    <w:rsid w:val="00C26E79"/>
    <w:rsid w:val="00C30875"/>
    <w:rsid w:val="00C338D1"/>
    <w:rsid w:val="00C33C2E"/>
    <w:rsid w:val="00C41A0D"/>
    <w:rsid w:val="00C51D2B"/>
    <w:rsid w:val="00C62159"/>
    <w:rsid w:val="00C63DB3"/>
    <w:rsid w:val="00C76C19"/>
    <w:rsid w:val="00C76FB6"/>
    <w:rsid w:val="00C84B7E"/>
    <w:rsid w:val="00C85BF2"/>
    <w:rsid w:val="00C87400"/>
    <w:rsid w:val="00C93245"/>
    <w:rsid w:val="00C9464B"/>
    <w:rsid w:val="00CA1E7E"/>
    <w:rsid w:val="00CA6186"/>
    <w:rsid w:val="00CB2F30"/>
    <w:rsid w:val="00CB40FA"/>
    <w:rsid w:val="00CC152A"/>
    <w:rsid w:val="00CC3CFC"/>
    <w:rsid w:val="00CD29CA"/>
    <w:rsid w:val="00CD740A"/>
    <w:rsid w:val="00CE4B75"/>
    <w:rsid w:val="00CE50E7"/>
    <w:rsid w:val="00CE7D3F"/>
    <w:rsid w:val="00CF0E99"/>
    <w:rsid w:val="00CF5B79"/>
    <w:rsid w:val="00D01065"/>
    <w:rsid w:val="00D020F4"/>
    <w:rsid w:val="00D06FB0"/>
    <w:rsid w:val="00D10471"/>
    <w:rsid w:val="00D17DD7"/>
    <w:rsid w:val="00D25708"/>
    <w:rsid w:val="00D25BA7"/>
    <w:rsid w:val="00D263B2"/>
    <w:rsid w:val="00D268CD"/>
    <w:rsid w:val="00D35A9D"/>
    <w:rsid w:val="00D361BD"/>
    <w:rsid w:val="00D53CE5"/>
    <w:rsid w:val="00D6172B"/>
    <w:rsid w:val="00D6298E"/>
    <w:rsid w:val="00D6358E"/>
    <w:rsid w:val="00D63F36"/>
    <w:rsid w:val="00D674A7"/>
    <w:rsid w:val="00D71471"/>
    <w:rsid w:val="00D7381A"/>
    <w:rsid w:val="00D753A4"/>
    <w:rsid w:val="00D8419D"/>
    <w:rsid w:val="00D84CBA"/>
    <w:rsid w:val="00D857CC"/>
    <w:rsid w:val="00D85914"/>
    <w:rsid w:val="00D86305"/>
    <w:rsid w:val="00D90B9A"/>
    <w:rsid w:val="00D91CE4"/>
    <w:rsid w:val="00DB0695"/>
    <w:rsid w:val="00DB5B01"/>
    <w:rsid w:val="00DC1BC5"/>
    <w:rsid w:val="00DD128C"/>
    <w:rsid w:val="00DD6817"/>
    <w:rsid w:val="00DE57EF"/>
    <w:rsid w:val="00DE61F4"/>
    <w:rsid w:val="00DF75D1"/>
    <w:rsid w:val="00E02ECD"/>
    <w:rsid w:val="00E12DF3"/>
    <w:rsid w:val="00E21000"/>
    <w:rsid w:val="00E31FF2"/>
    <w:rsid w:val="00E36C7F"/>
    <w:rsid w:val="00E465B2"/>
    <w:rsid w:val="00E52B42"/>
    <w:rsid w:val="00E669AA"/>
    <w:rsid w:val="00E66DEB"/>
    <w:rsid w:val="00E72A09"/>
    <w:rsid w:val="00E77A8A"/>
    <w:rsid w:val="00E8416B"/>
    <w:rsid w:val="00E9297F"/>
    <w:rsid w:val="00E95857"/>
    <w:rsid w:val="00EA170A"/>
    <w:rsid w:val="00EA2B9C"/>
    <w:rsid w:val="00EA549C"/>
    <w:rsid w:val="00EA6FD7"/>
    <w:rsid w:val="00EA7FAB"/>
    <w:rsid w:val="00EB019B"/>
    <w:rsid w:val="00EB08BA"/>
    <w:rsid w:val="00EB68AF"/>
    <w:rsid w:val="00EC6103"/>
    <w:rsid w:val="00EE5494"/>
    <w:rsid w:val="00EF3C2A"/>
    <w:rsid w:val="00EF7927"/>
    <w:rsid w:val="00F02439"/>
    <w:rsid w:val="00F1069C"/>
    <w:rsid w:val="00F17061"/>
    <w:rsid w:val="00F17151"/>
    <w:rsid w:val="00F31200"/>
    <w:rsid w:val="00F32A7B"/>
    <w:rsid w:val="00F34BD7"/>
    <w:rsid w:val="00F37F73"/>
    <w:rsid w:val="00F40BBB"/>
    <w:rsid w:val="00F618C6"/>
    <w:rsid w:val="00F61942"/>
    <w:rsid w:val="00F63452"/>
    <w:rsid w:val="00F6563B"/>
    <w:rsid w:val="00F660E8"/>
    <w:rsid w:val="00F81AB2"/>
    <w:rsid w:val="00FA10A1"/>
    <w:rsid w:val="00FA630F"/>
    <w:rsid w:val="00FA6B73"/>
    <w:rsid w:val="00FB046B"/>
    <w:rsid w:val="00FB5749"/>
    <w:rsid w:val="00FC4A18"/>
    <w:rsid w:val="00FD021C"/>
    <w:rsid w:val="00FE6FE2"/>
    <w:rsid w:val="00FE7236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C36B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C36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152A"/>
    <w:rPr>
      <w:sz w:val="18"/>
      <w:szCs w:val="18"/>
    </w:rPr>
  </w:style>
  <w:style w:type="paragraph" w:styleId="a5">
    <w:name w:val="List Paragraph"/>
    <w:basedOn w:val="a"/>
    <w:uiPriority w:val="34"/>
    <w:qFormat/>
    <w:rsid w:val="00EA6FD7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256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5674"/>
    <w:rPr>
      <w:sz w:val="18"/>
      <w:szCs w:val="18"/>
    </w:rPr>
  </w:style>
  <w:style w:type="table" w:styleId="a7">
    <w:name w:val="Table Grid"/>
    <w:basedOn w:val="a1"/>
    <w:uiPriority w:val="59"/>
    <w:rsid w:val="0016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D01065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8">
    <w:name w:val="Date"/>
    <w:basedOn w:val="a"/>
    <w:next w:val="a"/>
    <w:link w:val="Char2"/>
    <w:uiPriority w:val="99"/>
    <w:semiHidden/>
    <w:unhideWhenUsed/>
    <w:rsid w:val="002857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85778"/>
  </w:style>
  <w:style w:type="character" w:customStyle="1" w:styleId="1Char">
    <w:name w:val="标题 1 Char"/>
    <w:basedOn w:val="a0"/>
    <w:link w:val="1"/>
    <w:uiPriority w:val="9"/>
    <w:rsid w:val="002C36B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D764-E60A-415E-8E76-3167EB1D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陈慧斌</dc:creator>
  <cp:lastModifiedBy>陈慧斌</cp:lastModifiedBy>
  <cp:revision>18</cp:revision>
  <cp:lastPrinted>2020-09-17T12:00:00Z</cp:lastPrinted>
  <dcterms:created xsi:type="dcterms:W3CDTF">2020-09-17T10:33:00Z</dcterms:created>
  <dcterms:modified xsi:type="dcterms:W3CDTF">2020-09-21T23:59:00Z</dcterms:modified>
</cp:coreProperties>
</file>